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الغِشُّ والاحتكار</w:t>
      </w:r>
    </w:p>
    <w:p>
      <w:pPr>
        <w:spacing w:after="120"/>
      </w:pPr>
      <w:r>
        <w:rPr>
          <w:color w:val="8A6A1F"/>
          <w:sz w:val="36"/>
          <w:szCs w:val="36"/>
        </w:rPr>
        <w:t xml:space="preserve">سبعُ عقوباتٍ توعَّدَ اللهُ بها آكلَ المالِ الحرام</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w:t>
      </w:r>
      <w:r>
        <w:rPr>
          <w:b/>
          <w:bCs/>
          <w:color w:val="8A6A1F"/>
          <w:sz w:val="36"/>
          <w:szCs w:val="36"/>
        </w:rPr>
        <w:t xml:space="preserve">﴿يَا أَيُّهَا الَّذِينَ آمَنُوا اتَّقُوا اللَّهَ حَقَّ تُقَاتِهِ وَلَا تَمُوتُنَّ إِلَّا وَأَنتُم مُّسْلِمُونَ﴾</w:t>
      </w:r>
      <w:r>
        <w:rPr>
          <w:color w:val="1A1A1A"/>
          <w:sz w:val="36"/>
          <w:szCs w:val="36"/>
        </w:rPr>
        <w:t xml:space="preserve">. أمّا بعدُ، فإنّ أصدقَ الحديثِ كتابُ الله، وخيرَ الهَديِ هَديُ نبيِّنا محمدٍ ﷺ، وشرَّ الأمورِ مُحدَثاتُها، وكلَّ مُحدَثةٍ بدعة، وكلَّ بدعةٍ ضلالة، وكلَّ ضلالةٍ في النار.</w:t>
      </w:r>
    </w:p>
    <w:p>
      <w:pPr>
        <w:spacing w:before="260" w:after="120"/>
      </w:pPr>
      <w:r>
        <w:rPr>
          <w:b/>
          <w:bCs/>
          <w:color w:val="1F5C3A"/>
          <w:sz w:val="36"/>
          <w:szCs w:val="36"/>
        </w:rPr>
        <w:t xml:space="preserve">تمهيد: هَمسةُ نذيرٍ وصيحةُ تذكير</w:t>
      </w:r>
    </w:p>
    <w:p>
      <w:pPr>
        <w:spacing w:after="140" w:line="340" w:lineRule="auto"/>
        <w:jc w:val="both"/>
      </w:pPr>
      <w:r>
        <w:rPr>
          <w:color w:val="1A1A1A"/>
          <w:sz w:val="36"/>
          <w:szCs w:val="36"/>
        </w:rPr>
        <w:t xml:space="preserve">وبعدُ، أحبَّتي في الله، معاشرَ المصلِّين: بَراءةٌ، ووَيلٌ، ومَحْقٌ، ونار؛ وصدقاتٌ وأعمالٌ وصِلاتٌ تُلقى في نارِ جهنّم! عمَّ أتكلَّم؟ إنها هَمسةُ نذيرٍ وصيحةُ تذكير: في الوقتِ الذي كان ينبغي أن نكونَ فيه أمَّةً واحدةً وجسدًا واحدًا، ضعُفَتِ النفوسُ وطغى الطمعُ والجَشَع، وأطلَّتِ الوحوشُ البشريةُ بأنيابِها علينا؛ فارتفعَتِ الأسعارُ وفجَرَ التجّارُ ـ إلا من رحمَ ربي العزيزُ الغفّار.</w:t>
      </w:r>
    </w:p>
    <w:p>
      <w:pPr>
        <w:spacing w:after="140" w:line="340" w:lineRule="auto"/>
        <w:jc w:val="both"/>
      </w:pPr>
      <w:r>
        <w:rPr>
          <w:color w:val="1A1A1A"/>
          <w:sz w:val="36"/>
          <w:szCs w:val="36"/>
        </w:rPr>
        <w:t xml:space="preserve">فخطبتي لكم اليومَ عن شيءٍ من عقوبةِ أكلِ الحرامِ في صورتَين شاعَتا في زمانِنا: الغِشِّ والاحتكار. فأَرِعْني قلبَك قبل سمعِك؛ فإنّ العبدَ الذي يجهلُ عقوبةَ ذلك قد عرَّضَ نفسَه لخطرٍ عظيم.</w:t>
      </w:r>
    </w:p>
    <w:p>
      <w:pPr>
        <w:spacing w:before="260" w:after="120"/>
      </w:pPr>
      <w:r>
        <w:rPr>
          <w:b/>
          <w:bCs/>
          <w:color w:val="1F5C3A"/>
          <w:sz w:val="36"/>
          <w:szCs w:val="36"/>
        </w:rPr>
        <w:t xml:space="preserve">أولًا: بَراءةُ النبيِّ ﷺ منه</w:t>
      </w:r>
    </w:p>
    <w:p>
      <w:pPr>
        <w:spacing w:after="140" w:line="340" w:lineRule="auto"/>
        <w:jc w:val="both"/>
      </w:pPr>
      <w:r>
        <w:rPr>
          <w:color w:val="1A1A1A"/>
          <w:sz w:val="36"/>
          <w:szCs w:val="36"/>
        </w:rPr>
        <w:t xml:space="preserve">أيها الحبيبُ المبارَك: إن كنتَ ممَّن يَغُشُّ فقد تبرَّأَ منك النبيُّ ﷺ! وواللهِ إنّ الواحدَ منّا لا ينامُ ليلةً إن قرَّرَتْ عشيرتُه أن تتبرَّأَ منه، سيُقيمُ الدنيا ولا يُقعِدُها؛ فكيف بمن يتبرَّأُ منه الحبيبُ ﷺ؟! اسمَعْ يا مسلمُ ما رواه مسلمٌ في </w:t>
      </w:r>
      <w:r>
        <w:rPr>
          <w:b/>
          <w:bCs/>
          <w:color w:val="1F5C3A"/>
          <w:sz w:val="36"/>
          <w:szCs w:val="36"/>
        </w:rPr>
        <w:t xml:space="preserve">«صحيحه»</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«مَن غَشَّ فليس منّي»</w:t>
      </w:r>
      <w:r>
        <w:rPr>
          <w:rStyle w:val="a5"/>
          <w:sz w:val="36"/>
          <w:szCs w:val="36"/>
        </w:rPr>
        <w:footnoteReference w:id="1"/>
      </w:r>
    </w:p>
    <w:p>
      <w:pPr>
        <w:spacing w:after="140" w:line="340" w:lineRule="auto"/>
        <w:jc w:val="both"/>
      </w:pPr>
      <w:r>
        <w:rPr>
          <w:color w:val="1A1A1A"/>
          <w:sz w:val="36"/>
          <w:szCs w:val="36"/>
        </w:rPr>
        <w:t xml:space="preserve">وفي </w:t>
      </w:r>
      <w:r>
        <w:rPr>
          <w:b/>
          <w:bCs/>
          <w:color w:val="1F5C3A"/>
          <w:sz w:val="36"/>
          <w:szCs w:val="36"/>
        </w:rPr>
        <w:t xml:space="preserve">«صحيح مسلم»</w:t>
      </w:r>
      <w:r>
        <w:rPr>
          <w:color w:val="1A1A1A"/>
          <w:sz w:val="36"/>
          <w:szCs w:val="36"/>
        </w:rPr>
        <w:t xml:space="preserve"> أيضًا:</w:t>
      </w:r>
    </w:p>
    <w:p>
      <w:pPr>
        <w:pBdr>
          <w:right w:val="single" w:sz="12" w:space="10" w:color="8A6A1F"/>
        </w:pBdr>
        <w:spacing w:before="120" w:after="160" w:line="320" w:lineRule="auto"/>
        <w:ind w:left="504" w:right="504"/>
        <w:jc w:val="both"/>
      </w:pPr>
      <w:r>
        <w:rPr>
          <w:b/>
          <w:bCs/>
          <w:color w:val="1F5C3A"/>
          <w:sz w:val="36"/>
          <w:szCs w:val="36"/>
        </w:rPr>
        <w:t xml:space="preserve">«مَن حمَلَ علينا السلاحَ فليس منّا، ومن غَشَّنا فليس منّا»</w:t>
      </w:r>
      <w:r>
        <w:rPr>
          <w:rStyle w:val="a5"/>
          <w:sz w:val="36"/>
          <w:szCs w:val="36"/>
        </w:rPr>
        <w:footnoteReference w:id="2"/>
      </w:r>
    </w:p>
    <w:p>
      <w:pPr>
        <w:spacing w:after="140" w:line="340" w:lineRule="auto"/>
        <w:jc w:val="both"/>
      </w:pPr>
      <w:r>
        <w:rPr>
          <w:color w:val="1A1A1A"/>
          <w:sz w:val="36"/>
          <w:szCs w:val="36"/>
        </w:rPr>
        <w:t xml:space="preserve">وقد تكلَّمَ العلماءُ في معنى هذه البراءة: فليست خروجًا من الملَّة، ولكنّها براءةٌ من النبيِّ ﷺ ومن هَديِه وطريقتِه؛ وكفى بها زاجرًا. فانتبِهْ يا مسلمُ، فالقضيةُ خطيرة.</w:t>
      </w:r>
    </w:p>
    <w:p>
      <w:pPr>
        <w:spacing w:before="260" w:after="120"/>
      </w:pPr>
      <w:r>
        <w:rPr>
          <w:b/>
          <w:bCs/>
          <w:color w:val="1F5C3A"/>
          <w:sz w:val="36"/>
          <w:szCs w:val="36"/>
        </w:rPr>
        <w:t xml:space="preserve">ثانيًا: النار</w:t>
      </w:r>
    </w:p>
    <w:p>
      <w:pPr>
        <w:spacing w:after="140" w:line="340" w:lineRule="auto"/>
        <w:jc w:val="both"/>
      </w:pPr>
      <w:r>
        <w:rPr>
          <w:color w:val="1A1A1A"/>
          <w:sz w:val="36"/>
          <w:szCs w:val="36"/>
        </w:rPr>
        <w:t xml:space="preserve">النارُ ولَظى والسَّعيرُ وسَقَرُ تنتظِرُ أولئك الذين هُرِعوا إلى رفعِ الأسعارِ وخبَّأوا السِّلَعَ من أجلِ الاحتكار. اسمَعْ ماذا يقولُ ربُّك ـ و</w:t>
      </w:r>
      <w:r>
        <w:rPr>
          <w:b/>
          <w:bCs/>
          <w:color w:val="1F5C3A"/>
          <w:sz w:val="36"/>
          <w:szCs w:val="36"/>
        </w:rPr>
        <w:t xml:space="preserve">«الويلُ»</w:t>
      </w:r>
      <w:r>
        <w:rPr>
          <w:color w:val="1A1A1A"/>
          <w:sz w:val="36"/>
          <w:szCs w:val="36"/>
        </w:rPr>
        <w:t xml:space="preserve"> وادٍ في جهنَّم، ووعيدٌ شديد:</w:t>
      </w:r>
    </w:p>
    <w:p>
      <w:pPr>
        <w:pBdr>
          <w:right w:val="single" w:sz="12" w:space="10" w:color="8A6A1F"/>
        </w:pBdr>
        <w:spacing w:before="120" w:after="160" w:line="320" w:lineRule="auto"/>
        <w:ind w:left="504" w:right="504"/>
        <w:jc w:val="both"/>
      </w:pPr>
      <w:r>
        <w:rPr>
          <w:b/>
          <w:bCs/>
          <w:color w:val="8A6A1F"/>
          <w:sz w:val="36"/>
          <w:szCs w:val="36"/>
        </w:rPr>
        <w:t xml:space="preserve">﴿وَيْلٌ لِّلْمُطَفِّفِينَ ۝ الَّذِينَ إِذَا اكْتَالُوا عَلَى النَّاسِ يَسْتَوْفُونَ ۝ وَإِذَا كَالُوهُمْ أَو وَّزَنُوهُمْ يُخْسِرُونَ ۝ أَلَا يَظُنُّ أُولَٰئِكَ أَنَّهُم مَّبْعُوثُونَ ۝ لِيَوْمٍ عَظِيمٍ ۝ يَوْمَ يَقُومُ النَّاسُ لِرَبِّ الْعَالَمِينَ﴾</w:t>
      </w:r>
    </w:p>
    <w:p>
      <w:pPr>
        <w:spacing w:after="140" w:line="340" w:lineRule="auto"/>
        <w:jc w:val="both"/>
      </w:pPr>
      <w:r>
        <w:rPr>
          <w:color w:val="1A1A1A"/>
          <w:sz w:val="36"/>
          <w:szCs w:val="36"/>
        </w:rPr>
        <w:t xml:space="preserve">فمن ذا القادرُ على أن يَقدَمَ يومَ القيامةِ بتطفيفِه وتلاعُبِه وغِشِّه وخِداعِه وتدليسِه؟! وأقولُها بكلِّ صراحة: في زمانِنا لا تكادُ تجِدُ صَدوقًا إلا من عصَمَ ربي، وقليلٌ ما هم. وقال ﷺ:</w:t>
      </w:r>
    </w:p>
    <w:p>
      <w:pPr>
        <w:pBdr>
          <w:right w:val="single" w:sz="12" w:space="10" w:color="8A6A1F"/>
        </w:pBdr>
        <w:spacing w:before="120" w:after="160" w:line="320" w:lineRule="auto"/>
        <w:ind w:left="504" w:right="504"/>
        <w:jc w:val="both"/>
      </w:pPr>
      <w:r>
        <w:rPr>
          <w:b/>
          <w:bCs/>
          <w:color w:val="1F5C3A"/>
          <w:sz w:val="36"/>
          <w:szCs w:val="36"/>
        </w:rPr>
        <w:t xml:space="preserve">«أيُّما لحمٍ نبَتَ من سُحْتٍ فالنارُ أَولى به»</w:t>
      </w:r>
      <w:r>
        <w:rPr>
          <w:rStyle w:val="a5"/>
          <w:sz w:val="36"/>
          <w:szCs w:val="36"/>
        </w:rPr>
        <w:footnoteReference w:id="3"/>
      </w:r>
    </w:p>
    <w:p>
      <w:pPr>
        <w:spacing w:after="140" w:line="340" w:lineRule="auto"/>
        <w:jc w:val="both"/>
      </w:pPr>
      <w:r>
        <w:rPr>
          <w:color w:val="1A1A1A"/>
          <w:sz w:val="36"/>
          <w:szCs w:val="36"/>
        </w:rPr>
        <w:t xml:space="preserve">النارُ أَولى بهذا اللحم! بهذه الذرِّيَّةِ التي تُطعِمُها حرامًا بغِشِّك واحتكارِك وخديعتِك. وقال ﷺ:</w:t>
      </w:r>
    </w:p>
    <w:p>
      <w:pPr>
        <w:pBdr>
          <w:right w:val="single" w:sz="12" w:space="10" w:color="8A6A1F"/>
        </w:pBdr>
        <w:spacing w:before="120" w:after="160" w:line="320" w:lineRule="auto"/>
        <w:ind w:left="504" w:right="504"/>
        <w:jc w:val="both"/>
      </w:pPr>
      <w:r>
        <w:rPr>
          <w:b/>
          <w:bCs/>
          <w:color w:val="1F5C3A"/>
          <w:sz w:val="36"/>
          <w:szCs w:val="36"/>
        </w:rPr>
        <w:t xml:space="preserve">«مَن غَشَّنا فليس منّا، والمَكْرُ والخِداعُ في النار»</w:t>
      </w:r>
      <w:r>
        <w:rPr>
          <w:rStyle w:val="a5"/>
          <w:sz w:val="36"/>
          <w:szCs w:val="36"/>
        </w:rPr>
        <w:footnoteReference w:id="4"/>
      </w:r>
    </w:p>
    <w:p>
      <w:pPr>
        <w:spacing w:after="140" w:line="340" w:lineRule="auto"/>
        <w:jc w:val="both"/>
      </w:pPr>
      <w:r>
        <w:rPr>
          <w:color w:val="1A1A1A"/>
          <w:sz w:val="36"/>
          <w:szCs w:val="36"/>
        </w:rPr>
        <w:t xml:space="preserve">فليست شَطارةً ولا مهارةً ولا تجارة، بل نارٌ نسألُ اللهَ أن يُجيرَنا وإيّاكم منها.</w:t>
      </w:r>
    </w:p>
    <w:p>
      <w:pPr>
        <w:spacing w:before="260" w:after="120"/>
      </w:pPr>
      <w:r>
        <w:rPr>
          <w:b/>
          <w:bCs/>
          <w:color w:val="1F5C3A"/>
          <w:sz w:val="36"/>
          <w:szCs w:val="36"/>
        </w:rPr>
        <w:t xml:space="preserve">ثالثًا: مَحْقُ البركة</w:t>
      </w:r>
    </w:p>
    <w:p>
      <w:pPr>
        <w:spacing w:after="140" w:line="340" w:lineRule="auto"/>
        <w:jc w:val="both"/>
      </w:pPr>
      <w:r>
        <w:rPr>
          <w:color w:val="1A1A1A"/>
          <w:sz w:val="36"/>
          <w:szCs w:val="36"/>
        </w:rPr>
        <w:t xml:space="preserve">هذا المسكينُ يجمعُ السِّلَعَ ويُكدِّسُها؛ اتَّصلَ بي رجلٌ يقول: يا شيخُ، مستودعاتٌ بالعشرات تكدَّسَتْ فيها البضائع! انتظارَ ماذا؟ أَلِيتصدَّقَ بها في زمنِ الحرب، أو يُطعِمَ بها جائعًا؟ لا، ليس هذا في الحُسبان؛ وإنما هو طمعٌ وجَشَع. يقولُ حبيبُك ﷺ:</w:t>
      </w:r>
    </w:p>
    <w:p>
      <w:pPr>
        <w:pBdr>
          <w:right w:val="single" w:sz="12" w:space="10" w:color="8A6A1F"/>
        </w:pBdr>
        <w:spacing w:before="120" w:after="160" w:line="320" w:lineRule="auto"/>
        <w:ind w:left="504" w:right="504"/>
        <w:jc w:val="both"/>
      </w:pPr>
      <w:r>
        <w:rPr>
          <w:b/>
          <w:bCs/>
          <w:color w:val="1F5C3A"/>
          <w:sz w:val="36"/>
          <w:szCs w:val="36"/>
        </w:rPr>
        <w:t xml:space="preserve">«البيِّعانِ بالخِيارِ ما لم يتفرَّقا؛ فإن صَدَقا وبيَّنا بُورِكَ لهما في بَيعِهما، وإن كذَبا وكتَما مُحِقَتْ بركةُ بَيعِهما»</w:t>
      </w:r>
      <w:r>
        <w:rPr>
          <w:rStyle w:val="a5"/>
          <w:sz w:val="36"/>
          <w:szCs w:val="36"/>
        </w:rPr>
        <w:footnoteReference w:id="5"/>
      </w:r>
    </w:p>
    <w:p>
      <w:pPr>
        <w:spacing w:after="140" w:line="340" w:lineRule="auto"/>
        <w:jc w:val="both"/>
      </w:pPr>
      <w:r>
        <w:rPr>
          <w:color w:val="1A1A1A"/>
          <w:sz w:val="36"/>
          <w:szCs w:val="36"/>
        </w:rPr>
        <w:t xml:space="preserve">كُنْ صادقًا ولو في إبرةٍ أو قَشَّة، فكيف بسيارةٍ وعِمارة! وقال ﷺ:</w:t>
      </w:r>
    </w:p>
    <w:p>
      <w:pPr>
        <w:pBdr>
          <w:right w:val="single" w:sz="12" w:space="10" w:color="8A6A1F"/>
        </w:pBdr>
        <w:spacing w:before="120" w:after="160" w:line="320" w:lineRule="auto"/>
        <w:ind w:left="504" w:right="504"/>
        <w:jc w:val="both"/>
      </w:pPr>
      <w:r>
        <w:rPr>
          <w:b/>
          <w:bCs/>
          <w:color w:val="1F5C3A"/>
          <w:sz w:val="36"/>
          <w:szCs w:val="36"/>
        </w:rPr>
        <w:t xml:space="preserve">«الحَلِفُ مَنفَقةٌ للسِّلعة، مَمحَقةٌ للكَسْب»</w:t>
      </w:r>
      <w:r>
        <w:rPr>
          <w:rStyle w:val="a5"/>
          <w:sz w:val="36"/>
          <w:szCs w:val="36"/>
        </w:rPr>
        <w:footnoteReference w:id="6"/>
      </w:r>
    </w:p>
    <w:p>
      <w:pPr>
        <w:spacing w:after="140" w:line="340" w:lineRule="auto"/>
        <w:jc w:val="both"/>
      </w:pPr>
      <w:r>
        <w:rPr>
          <w:color w:val="1A1A1A"/>
          <w:sz w:val="36"/>
          <w:szCs w:val="36"/>
        </w:rPr>
        <w:t xml:space="preserve">تَروجُ بضاعتُك ويُمحَقُ كسبُك. وتأمَّلْ بعينِك حالَ هؤلاء: واللهِ يعيشون في قلوبِهم عيشةَ الفقراء.</w:t>
      </w:r>
    </w:p>
    <w:p>
      <w:pPr>
        <w:spacing w:before="260" w:after="120"/>
      </w:pPr>
      <w:r>
        <w:rPr>
          <w:b/>
          <w:bCs/>
          <w:color w:val="1F5C3A"/>
          <w:sz w:val="36"/>
          <w:szCs w:val="36"/>
        </w:rPr>
        <w:t xml:space="preserve">رابعًا: مَحشرٌ مُفزِع</w:t>
      </w:r>
    </w:p>
    <w:p>
      <w:pPr>
        <w:spacing w:after="140" w:line="340" w:lineRule="auto"/>
        <w:jc w:val="both"/>
      </w:pPr>
      <w:r>
        <w:rPr>
          <w:color w:val="1A1A1A"/>
          <w:sz w:val="36"/>
          <w:szCs w:val="36"/>
        </w:rPr>
        <w:t xml:space="preserve">اسمَعْ مَحشرَك إن كنتَ تاجرًا تظُنُّ نفسَك ماهرًا وأنت تتلاعبُ بكلِّ شيء؛ قال ﷺ:</w:t>
      </w:r>
    </w:p>
    <w:p>
      <w:pPr>
        <w:pBdr>
          <w:right w:val="single" w:sz="12" w:space="10" w:color="8A6A1F"/>
        </w:pBdr>
        <w:spacing w:before="120" w:after="160" w:line="320" w:lineRule="auto"/>
        <w:ind w:left="504" w:right="504"/>
        <w:jc w:val="both"/>
      </w:pPr>
      <w:r>
        <w:rPr>
          <w:b/>
          <w:bCs/>
          <w:color w:val="1F5C3A"/>
          <w:sz w:val="36"/>
          <w:szCs w:val="36"/>
        </w:rPr>
        <w:t xml:space="preserve">«ثلاثةٌ لا يُكلِّمُهمُ اللهُ يومَ القيامةِ ولا يَنظُرُ إليهم ولا يُزكِّيهم ولهم عذابٌ أليم: المنَّانُ، والمُنفِقُ سِلعتَه بالحَلِفِ الكاذب، والمُسبِلُ إزارَه»</w:t>
      </w:r>
      <w:r>
        <w:rPr>
          <w:rStyle w:val="a5"/>
          <w:sz w:val="36"/>
          <w:szCs w:val="36"/>
        </w:rPr>
        <w:footnoteReference w:id="7"/>
      </w:r>
    </w:p>
    <w:p>
      <w:pPr>
        <w:spacing w:after="140" w:line="340" w:lineRule="auto"/>
        <w:jc w:val="both"/>
      </w:pPr>
      <w:r>
        <w:rPr>
          <w:color w:val="1A1A1A"/>
          <w:sz w:val="36"/>
          <w:szCs w:val="36"/>
        </w:rPr>
        <w:t xml:space="preserve">فلا يَنظُرُ اللهُ إليك، ولا يُكلِّمُك، ولا يُزكِّيك! وقال ﷺ:</w:t>
      </w:r>
    </w:p>
    <w:p>
      <w:pPr>
        <w:pBdr>
          <w:right w:val="single" w:sz="12" w:space="10" w:color="8A6A1F"/>
        </w:pBdr>
        <w:spacing w:before="120" w:after="160" w:line="320" w:lineRule="auto"/>
        <w:ind w:left="504" w:right="504"/>
        <w:jc w:val="both"/>
      </w:pPr>
      <w:r>
        <w:rPr>
          <w:b/>
          <w:bCs/>
          <w:color w:val="1F5C3A"/>
          <w:sz w:val="36"/>
          <w:szCs w:val="36"/>
        </w:rPr>
        <w:t xml:space="preserve">«إنّ التجّارَ يُبعَثون يومَ القيامةِ فُجّارًا، إلا من اتَّقى اللهَ وبَرَّ وصَدَق»</w:t>
      </w:r>
      <w:r>
        <w:rPr>
          <w:rStyle w:val="a5"/>
          <w:sz w:val="36"/>
          <w:szCs w:val="36"/>
        </w:rPr>
        <w:footnoteReference w:id="8"/>
      </w:r>
    </w:p>
    <w:p>
      <w:pPr>
        <w:spacing w:after="140" w:line="340" w:lineRule="auto"/>
        <w:jc w:val="both"/>
      </w:pPr>
      <w:r>
        <w:rPr>
          <w:color w:val="1A1A1A"/>
          <w:sz w:val="36"/>
          <w:szCs w:val="36"/>
        </w:rPr>
        <w:t xml:space="preserve">تخيَّلْ: في الصفِّ الأول، مُصحفُه معروفٌ في المسجد... ثم هو تاجرٌ غشّاش! فمع من يُحشَر؟ فاخترْ لنفسِك محشرًا يسُرُّك: إمّا مع الفُجّار، وإمّا مع المتقين الأبرار.</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أيها الأحبَّةُ في الله:</w:t>
      </w:r>
    </w:p>
    <w:p>
      <w:pPr>
        <w:spacing w:before="260" w:after="120"/>
      </w:pPr>
      <w:r>
        <w:rPr>
          <w:b/>
          <w:bCs/>
          <w:color w:val="1F5C3A"/>
          <w:sz w:val="36"/>
          <w:szCs w:val="36"/>
        </w:rPr>
        <w:t xml:space="preserve">خامسًا: وصفُ الخاطئ</w:t>
      </w:r>
    </w:p>
    <w:p>
      <w:pPr>
        <w:spacing w:after="140" w:line="340" w:lineRule="auto"/>
        <w:jc w:val="both"/>
      </w:pPr>
      <w:r>
        <w:rPr>
          <w:color w:val="1A1A1A"/>
          <w:sz w:val="36"/>
          <w:szCs w:val="36"/>
        </w:rPr>
        <w:t xml:space="preserve">قال ﷺ في المحتكِر:</w:t>
      </w:r>
    </w:p>
    <w:p>
      <w:pPr>
        <w:pBdr>
          <w:right w:val="single" w:sz="12" w:space="10" w:color="8A6A1F"/>
        </w:pBdr>
        <w:spacing w:before="120" w:after="160" w:line="320" w:lineRule="auto"/>
        <w:ind w:left="504" w:right="504"/>
        <w:jc w:val="both"/>
      </w:pPr>
      <w:r>
        <w:rPr>
          <w:b/>
          <w:bCs/>
          <w:color w:val="1F5C3A"/>
          <w:sz w:val="36"/>
          <w:szCs w:val="36"/>
        </w:rPr>
        <w:t xml:space="preserve">«لا يَحتكِرُ إلا خاطئ»</w:t>
      </w:r>
      <w:r>
        <w:rPr>
          <w:rStyle w:val="a5"/>
          <w:sz w:val="36"/>
          <w:szCs w:val="36"/>
        </w:rPr>
        <w:footnoteReference w:id="9"/>
      </w:r>
    </w:p>
    <w:p>
      <w:pPr>
        <w:spacing w:after="140" w:line="340" w:lineRule="auto"/>
        <w:jc w:val="both"/>
      </w:pPr>
      <w:r>
        <w:rPr>
          <w:color w:val="1A1A1A"/>
          <w:sz w:val="36"/>
          <w:szCs w:val="36"/>
        </w:rPr>
        <w:t xml:space="preserve">واحفَظْ هذا الحديث. وقال ﷺ:</w:t>
      </w:r>
    </w:p>
    <w:p>
      <w:pPr>
        <w:pBdr>
          <w:right w:val="single" w:sz="12" w:space="10" w:color="8A6A1F"/>
        </w:pBdr>
        <w:spacing w:before="120" w:after="160" w:line="320" w:lineRule="auto"/>
        <w:ind w:left="504" w:right="504"/>
        <w:jc w:val="both"/>
      </w:pPr>
      <w:r>
        <w:rPr>
          <w:b/>
          <w:bCs/>
          <w:color w:val="1F5C3A"/>
          <w:sz w:val="36"/>
          <w:szCs w:val="36"/>
        </w:rPr>
        <w:t xml:space="preserve">«المسلمُ أخو المسلم، ولا يَحِلُّ لمسلمٍ باعَ من أخيه بَيعًا فيه عيبٌ إلا بيَّنَه له»</w:t>
      </w:r>
      <w:r>
        <w:rPr>
          <w:rStyle w:val="a5"/>
          <w:sz w:val="36"/>
          <w:szCs w:val="36"/>
        </w:rPr>
        <w:footnoteReference w:id="10"/>
      </w:r>
    </w:p>
    <w:p>
      <w:pPr>
        <w:spacing w:after="140" w:line="340" w:lineRule="auto"/>
        <w:jc w:val="both"/>
      </w:pPr>
      <w:r>
        <w:rPr>
          <w:color w:val="1A1A1A"/>
          <w:sz w:val="36"/>
          <w:szCs w:val="36"/>
        </w:rPr>
        <w:t xml:space="preserve">تعرِفُ السيارةَ مَعيبةً وهذه السِّلعةَ مَعيبة؟ بيِّنْ يا مسلمُ، فإنه لا يَحِلُّ لك. وقد جاء أبو السَّبّاعِ إلى دارِ واثِلةَ بنِ الأسقعِ ﵁ فاشترى منها ناقة؛ فلمّا قفَلَ راجعًا خرجَ إليه واثِلةُ يسعى يجُرُّ إزارَه فقال: أَاشتريتَ الناقة؟ قال: نعم. قال: أَبيَّنَ لك ما فيها؟ قال: وما فيها؟ أراها صحيحةً سليمةً كثيرةَ اللحم! فقال واثِلة: أتريدُها للَّحمِ أم للسَّفَر؟ قال: بل أريدُ الحجّ. قال: فإنّ في خُفِّها نَقْبًا. فقال الرجل: أتريدُ أن تُفسِدَ عليَّ بَيعي؟! فقال واثِلة: إني سمِعتُ رسولَ اللهِ ﷺ يقول: </w:t>
      </w:r>
      <w:r>
        <w:rPr>
          <w:b/>
          <w:bCs/>
          <w:color w:val="1F5C3A"/>
          <w:sz w:val="36"/>
          <w:szCs w:val="36"/>
        </w:rPr>
        <w:t xml:space="preserve">«لا يَحِلُّ لأحدٍ يبيعُ شيئًا إلا بيَّنَ ما فيه، ولا يَحِلُّ لمن يَعلَمُ ذلك إلا بيَّنَه»</w:t>
      </w:r>
      <w:r>
        <w:rPr>
          <w:color w:val="1A1A1A"/>
          <w:sz w:val="36"/>
          <w:szCs w:val="36"/>
        </w:rPr>
        <w:t xml:space="preserve">.</w:t>
      </w:r>
      <w:r>
        <w:rPr>
          <w:rStyle w:val="a5"/>
          <w:sz w:val="36"/>
          <w:szCs w:val="36"/>
        </w:rPr>
        <w:footnoteReference w:id="11"/>
      </w:r>
    </w:p>
    <w:p>
      <w:pPr>
        <w:spacing w:after="140" w:line="340" w:lineRule="auto"/>
        <w:jc w:val="both"/>
      </w:pPr>
      <w:r>
        <w:rPr>
          <w:color w:val="1A1A1A"/>
          <w:sz w:val="36"/>
          <w:szCs w:val="36"/>
        </w:rPr>
        <w:t xml:space="preserve">فاسمَعْ أيها المُوظَّفُ والعاملُ الذي يعرِفُ أنّ في السِّلعةِ إشكالًا وصاحبُها يبيعُ ويكتُم: بيِّنْ واتَّقِ اللهَ جلَّ في عُلاه.</w:t>
      </w:r>
    </w:p>
    <w:p>
      <w:pPr>
        <w:spacing w:before="260" w:after="120"/>
      </w:pPr>
      <w:r>
        <w:rPr>
          <w:b/>
          <w:bCs/>
          <w:color w:val="1F5C3A"/>
          <w:sz w:val="36"/>
          <w:szCs w:val="36"/>
        </w:rPr>
        <w:t xml:space="preserve">سادسًا: رَدُّ الأعمال</w:t>
      </w:r>
    </w:p>
    <w:p>
      <w:pPr>
        <w:spacing w:after="140" w:line="340" w:lineRule="auto"/>
        <w:jc w:val="both"/>
      </w:pPr>
      <w:r>
        <w:rPr>
          <w:color w:val="1A1A1A"/>
          <w:sz w:val="36"/>
          <w:szCs w:val="36"/>
        </w:rPr>
        <w:t xml:space="preserve">أعمالُ التاجرِ والبائعِ وصاحبِ الصناعةِ الذي يتلاعبُ بأموالِ المسلمين لا تُقبَل؛ قال ﷺ:</w:t>
      </w:r>
    </w:p>
    <w:p>
      <w:pPr>
        <w:pBdr>
          <w:right w:val="single" w:sz="12" w:space="10" w:color="8A6A1F"/>
        </w:pBdr>
        <w:spacing w:before="120" w:after="160" w:line="320" w:lineRule="auto"/>
        <w:ind w:left="504" w:right="504"/>
        <w:jc w:val="both"/>
      </w:pPr>
      <w:r>
        <w:rPr>
          <w:b/>
          <w:bCs/>
          <w:color w:val="1F5C3A"/>
          <w:sz w:val="36"/>
          <w:szCs w:val="36"/>
        </w:rPr>
        <w:t xml:space="preserve">«إنّ اللهَ طيِّبٌ لا يقبلُ إلا طيِّبًا»</w:t>
      </w:r>
      <w:r>
        <w:rPr>
          <w:rStyle w:val="a5"/>
          <w:sz w:val="36"/>
          <w:szCs w:val="36"/>
        </w:rPr>
        <w:footnoteReference w:id="12"/>
      </w:r>
    </w:p>
    <w:p>
      <w:pPr>
        <w:spacing w:after="140" w:line="340" w:lineRule="auto"/>
        <w:jc w:val="both"/>
      </w:pPr>
      <w:r>
        <w:rPr>
          <w:color w:val="1A1A1A"/>
          <w:sz w:val="36"/>
          <w:szCs w:val="36"/>
        </w:rPr>
        <w:t xml:space="preserve">ولو كنتَ حمامةَ مسجد! وجاء في الخبر: </w:t>
      </w:r>
      <w:r>
        <w:rPr>
          <w:b/>
          <w:bCs/>
          <w:color w:val="1F5C3A"/>
          <w:sz w:val="36"/>
          <w:szCs w:val="36"/>
        </w:rPr>
        <w:t xml:space="preserve">«من اكتسبَ مالًا من مَأثَمٍ فوصَلَ به رَحِمَه، أو تصدَّقَ به، أو أنفقَه في سبيلِ الله، جمَعَ اللهُ ذلك جميعًا ثم قذَفَ به في نارِ جهنّم»</w:t>
      </w:r>
      <w:r>
        <w:rPr>
          <w:color w:val="1A1A1A"/>
          <w:sz w:val="36"/>
          <w:szCs w:val="36"/>
        </w:rPr>
        <w:t xml:space="preserve">.</w:t>
      </w:r>
      <w:r>
        <w:rPr>
          <w:rStyle w:val="a5"/>
          <w:sz w:val="36"/>
          <w:szCs w:val="36"/>
        </w:rPr>
        <w:footnoteReference w:id="13"/>
      </w:r>
      <w:r>
        <w:rPr>
          <w:color w:val="1A1A1A"/>
          <w:sz w:val="36"/>
          <w:szCs w:val="36"/>
        </w:rPr>
        <w:t xml:space="preserve"> اكتسبتَ مالًا حرامًا ثم بنيتَ مسجدًا وفعلتَ من الخيراتِ ما فعلت... فيُجمَعُ ذلك كلُّه ويُقذَفُ في النار! نسألُ اللهَ السلامةَ والعافية.</w:t>
      </w:r>
    </w:p>
    <w:p>
      <w:pPr>
        <w:spacing w:after="140" w:line="340" w:lineRule="auto"/>
        <w:jc w:val="both"/>
      </w:pPr>
      <w:r>
        <w:rPr>
          <w:color w:val="1A1A1A"/>
          <w:sz w:val="36"/>
          <w:szCs w:val="36"/>
        </w:rPr>
        <w:t xml:space="preserve">ولذلك قال يوسفُ بنُ أسباطٍ ﵀: قال الشيطانُ لأعوانِه: إذا رأيتُم العبدَ قد تعبَّدَ فانظُروا من أين مَطعمُه؛ فإن كان من حرامٍ فدَعوه يتعب، فقد كفاكم نفسَه. وقال وُهَيبُ بنُ الوَرْدِ ﵀: لو قُمتَ في العبادةِ مقامَ هذه السارية، ما نفَعَك ذلك حتى تنظُرَ ما يدخُلُ بطنَك: أحلالٌ أم حرام؟</w:t>
      </w:r>
      <w:r>
        <w:rPr>
          <w:rStyle w:val="a5"/>
          <w:sz w:val="36"/>
          <w:szCs w:val="36"/>
        </w:rPr>
        <w:footnoteReference w:id="14"/>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جلَّ في عُلاه أن يُطيِّبَ مَطعمَنا، وأن يُباعِدَ بيننا وبين الغِشِّ والاحتكارِ وكلِّ أنواعِ الحرامِ كما باعَدَ بين المشرقِ والمغرب؛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واهدِ وُلاةَ أمورِنا ووفِّقْهم، واجعَلْ هذا البلدَ آمنًا مطمئنًّا وسائرَ بلادِ المسلمين، ووفِّقْ مَلِكَ البلادِ لما تُحبُّه وترضاه؛ إنك على كلِّ شيءٍ قدير.</w:t>
      </w:r>
    </w:p>
    <w:p>
      <w:pPr>
        <w:spacing w:after="140" w:line="340" w:lineRule="auto"/>
        <w:jc w:val="both"/>
      </w:pPr>
      <w:r>
        <w:rPr>
          <w:color w:val="1A1A1A"/>
          <w:sz w:val="36"/>
          <w:szCs w:val="36"/>
        </w:rPr>
        <w:t xml:space="preserve">رَبَّاه يا عظيمُ يا كريمُ يا رحيم، يا رؤوفُ يا عزيزُ يا جبّار، يا ذا القوَّةِ المتين: ندعوك دعاءَ المُضطَرِّ ونرجوك رجاءَ من يُحسِنُ الظنَّ بك. إنّ لنا إخوانًا أسرى في أيدي المُعتدين؛ اللهم عجِّلْ بفَكاكِهم، واحقِنْ دماءَهم، وفرِّجْ كُرَبَهم. اللهم مُنزِلَ الكتاب، مُجرِيَ السحاب، هازمَ الأحزاب: اهزِمْ من اعتدى عليهم وانصُرْنا عليهم.</w:t>
      </w:r>
      <w:r>
        <w:rPr>
          <w:rStyle w:val="a5"/>
          <w:sz w:val="36"/>
          <w:szCs w:val="36"/>
        </w:rPr>
        <w:footnoteReference w:id="15"/>
      </w:r>
      <w:r>
        <w:rPr>
          <w:color w:val="1A1A1A"/>
          <w:sz w:val="36"/>
          <w:szCs w:val="36"/>
        </w:rPr>
        <w:t xml:space="preserve"> رَبَّاه، ادفَعْ عن أهلِ السنَّةِ في كلِّ مكانٍ وأخرِجْهم سالمين؛ إنك على كلِّ شيءٍ قدير، وبالإجابةِ جدير. وآخِرُ دعوانا أنِ الحمدُ للهِ ربِّ العالمين، وصلَّى اللهُ وسلَّمَ على عبدِه ونبيِّه محمدٍ وعلى آلِه وصحبِه أجمعين.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 وابنِ عمر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من حديث أبي بكرٍ الصدِّيق ﵁، وله شواهدُ منها حديثُ كعبِ بن عُجرة عند الترمذي، وحسَّنه الألباني بمجموعِ طرقِه.</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الطبرانيُّ وابنُ حبان من حديث ابن مسعود ﵁؛ قال الهيثميُّ: رجالُه ثقات،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حكيمِ بن حِزامٍ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ذرٍّ ﵁. (وقد اختلطَ في التسجيلِ بحديثٍ آخرَ عند مسلمٍ في «ثلاثةٍ لا يُكلِّمُهمُ الله»: الشيخِ الزاني، والمَلِكِ الكذّاب، والعائلِ المُستكبِر؛ وهما حديثان متمايزان.)</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رِفاعةَ بنِ رافعٍ ﵁، وصححه الألباني.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مَعمَرِ بنِ عبد الله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وأحمدُ من حديث عُقبةَ بنِ عامرٍ ﵁، وصححه الألباني.</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واثِلةَ بنِ الأسقعِ ﵁؛ أخرجه أحمدُ وابنُ ماجه والحاكم، وحسَّنه الألباني.</w:t>
      </w:r>
    </w:p>
  </w:footnote>
  <w:footnote w:id="1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1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في «المراسيل» وابنُ حبان والبيهقيُّ بنحوِه، وفي إسنادِه مقال؛ ومعناه ثابتٌ بالحديثِ الذي قبلَه: «إنّ اللهَ طيِّبٌ لا يقبلُ إلا طيِّبًا».</w:t>
      </w:r>
    </w:p>
  </w:footnote>
  <w:footnote w:id="1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أثران عن يوسفَ بنِ أسباطٍ ووُهَيبِ بنِ الوَرْدِ ﵏؛ أخرجهما أبو نُعيمٍ في «الحلية» وابنُ أبي الدنيا.</w:t>
      </w:r>
    </w:p>
  </w:footnote>
  <w:footnote w:id="1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 في دعائه ﷺ على الأحزاب.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