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﴿وَرَفَعْنَا لَكَ ذِكْرَكَ﴾</w:t>
      </w:r>
    </w:p>
    <w:p>
      <w:pPr>
        <w:spacing w:after="120"/>
      </w:pPr>
      <w:r>
        <w:rPr>
          <w:color w:val="8A6A1F"/>
          <w:sz w:val="36"/>
          <w:szCs w:val="36"/>
        </w:rPr>
        <w:t xml:space="preserve">غَيرةُ الصحابةِ على نبيِّهم، ومظاهرُ رفعةِ اللهِ لنبيِّه ﷺ</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عَجَبٌ يزولُ سريعًا</w:t>
      </w:r>
    </w:p>
    <w:p>
      <w:pPr>
        <w:spacing w:after="140" w:line="340" w:lineRule="auto"/>
        <w:jc w:val="both"/>
      </w:pPr>
      <w:r>
        <w:rPr>
          <w:color w:val="1A1A1A"/>
          <w:sz w:val="36"/>
          <w:szCs w:val="36"/>
        </w:rPr>
        <w:t xml:space="preserve">وبعدُ، أحبَّتي في الله، معاشرَ المصلِّين: لستُ أعجَبُ ممَّن يعبُدُ بقرةً نشربُ حليبَها؛ ولكنّي أعجَبُ كيف يتطاوَلُ على سيِّدِ البشرِ ﷺ! غير أنّ عجَبي سُرعانَ ما يزولُ حين أبحثُ في أمَّتي وفي نفسي، فلا أجدُ نظائرَ أولئك الذين كانت محبَّةُ النبيِّ ﷺ تملأُ قلوبَهم.</w:t>
      </w:r>
    </w:p>
    <w:p>
      <w:pPr>
        <w:spacing w:before="200" w:after="100"/>
      </w:pPr>
      <w:r>
        <w:rPr>
          <w:b/>
          <w:bCs/>
          <w:color w:val="1A1A1A"/>
          <w:sz w:val="36"/>
          <w:szCs w:val="36"/>
        </w:rPr>
        <w:t xml:space="preserve">مُعاذٌ ومُعوِّذٌ ابنا عَفراءَ ﵄</w:t>
      </w:r>
    </w:p>
    <w:p>
      <w:pPr>
        <w:spacing w:after="140" w:line="340" w:lineRule="auto"/>
        <w:jc w:val="both"/>
      </w:pPr>
      <w:r>
        <w:rPr>
          <w:color w:val="1A1A1A"/>
          <w:sz w:val="36"/>
          <w:szCs w:val="36"/>
        </w:rPr>
        <w:t xml:space="preserve">يقولُ عبدُ الرحمنِ بنُ عوفٍ ﵁: بينما أنا واقفٌ في الصفِّ يومَ بدرٍ إذ بغُلامَين من الأنصارِ حديثَي السنِّ عن يميني وعن شمالي، فغمَزَني أحدُهما فقال: يا عمِّ، هل تعرِفُ أبا جهل؟ قلتُ: نعم، وما حاجتُك إليه يا ابنَ أخي؟ قال: أُخبِرتُ أنه يَسُبُّ رسولَ اللهِ ﷺ! والذي نفسي بيدِه، لئنْ رأيتُه لا يُفارِقُ سَوادي سَوادَه حتى يموتَ الأعجَلُ منّا. ثم غمَزَني الآخرُ فقال لي مثلَها. فما سرَّني أني بين رجُلَين مكانَهما! فأشرتُ لهما إليه، فشدّا عليه مِثلَ الصَّقرَين حتى ضربا أبا جهلٍ فقتلاه.</w:t>
      </w:r>
      <w:r>
        <w:rPr>
          <w:rStyle w:val="a5"/>
          <w:sz w:val="36"/>
          <w:szCs w:val="36"/>
        </w:rPr>
        <w:footnoteReference w:id="1"/>
      </w:r>
    </w:p>
    <w:p>
      <w:pPr>
        <w:spacing w:before="200" w:after="100"/>
      </w:pPr>
      <w:r>
        <w:rPr>
          <w:b/>
          <w:bCs/>
          <w:color w:val="1A1A1A"/>
          <w:sz w:val="36"/>
          <w:szCs w:val="36"/>
        </w:rPr>
        <w:t xml:space="preserve">سعدُ بنُ الرَّبيعِ ﵁</w:t>
      </w:r>
    </w:p>
    <w:p>
      <w:pPr>
        <w:spacing w:after="140" w:line="340" w:lineRule="auto"/>
        <w:jc w:val="both"/>
      </w:pPr>
      <w:r>
        <w:rPr>
          <w:color w:val="1A1A1A"/>
          <w:sz w:val="36"/>
          <w:szCs w:val="36"/>
        </w:rPr>
        <w:t xml:space="preserve">ويقولُ زيدُ بنُ ثابتٍ ﵁: بعثَني رسولُ اللهِ ﷺ يومَ أُحُدٍ ـ لمّا هدأَ القتالُ ـ أتفقَّدُ القتلى وأبحثُ عن سعدِ بنِ الرَّبيع. فلمّا انتهيتُ إليه وهو في الرَّمَقِ الأخير قال لي: كيف تَجِدُك؟ ـ يسألُ عن غيرِه وهو يموت! ـ ثم قال: أَقرِئْ رسولَ اللهِ ﷺ منّي السلام، وقُلْ لقومي الأنصار: واللهِ لا عُذرَ لكم عند اللهِ إن خُلِصَ إلى رسولِ اللهِ ﷺ وفيكم عينٌ تَطرِف.</w:t>
      </w:r>
      <w:r>
        <w:rPr>
          <w:rStyle w:val="a5"/>
          <w:sz w:val="36"/>
          <w:szCs w:val="36"/>
        </w:rPr>
        <w:footnoteReference w:id="2"/>
      </w:r>
    </w:p>
    <w:p>
      <w:pPr>
        <w:spacing w:before="200" w:after="100"/>
      </w:pPr>
      <w:r>
        <w:rPr>
          <w:b/>
          <w:bCs/>
          <w:color w:val="1A1A1A"/>
          <w:sz w:val="36"/>
          <w:szCs w:val="36"/>
        </w:rPr>
        <w:t xml:space="preserve">عبدُ اللهِ بنُ أُنَيسٍ ﵁</w:t>
      </w:r>
    </w:p>
    <w:p>
      <w:pPr>
        <w:spacing w:after="140" w:line="340" w:lineRule="auto"/>
        <w:jc w:val="both"/>
      </w:pPr>
      <w:r>
        <w:rPr>
          <w:color w:val="1A1A1A"/>
          <w:sz w:val="36"/>
          <w:szCs w:val="36"/>
        </w:rPr>
        <w:t xml:space="preserve">وحين بلَغَ النبيَّ ﷺ أنّ خالدَ بنَ سُفيانَ بنِ نُبَيحٍ الهُذَليَّ يجمعُ الجموعَ لغَزوِ المدينة، بعثَ إليه عبدَ اللهِ بنَ أُنَيسٍ ﵁ في سَريَّةٍ من سرايا الجهادِ المشروعِ بأمرِ النبيِّ ﷺ ـ لا بمُبادرةِ آحادِ الناس ـ فمضى وحدَه يقطعُ الفيافيَ والقِفار، حتى أدركَه فقتَلَه. فلمّا قدِمَ على النبيِّ ﷺ ورآه قال: </w:t>
      </w:r>
      <w:r>
        <w:rPr>
          <w:b/>
          <w:bCs/>
          <w:color w:val="1F5C3A"/>
          <w:sz w:val="36"/>
          <w:szCs w:val="36"/>
        </w:rPr>
        <w:t xml:space="preserve">«أفلحَ الوجهُ»</w:t>
      </w:r>
      <w:r>
        <w:rPr>
          <w:color w:val="1A1A1A"/>
          <w:sz w:val="36"/>
          <w:szCs w:val="36"/>
        </w:rPr>
        <w:t xml:space="preserve">. ثم أعطاه عصًا وقال: </w:t>
      </w:r>
      <w:r>
        <w:rPr>
          <w:b/>
          <w:bCs/>
          <w:color w:val="1F5C3A"/>
          <w:sz w:val="36"/>
          <w:szCs w:val="36"/>
        </w:rPr>
        <w:t xml:space="preserve">«هذه آيةٌ بيني وبينك يومَ القيامة»</w:t>
      </w:r>
      <w:r>
        <w:rPr>
          <w:color w:val="1A1A1A"/>
          <w:sz w:val="36"/>
          <w:szCs w:val="36"/>
        </w:rPr>
        <w:t xml:space="preserve">. فلم تزَلْ معه حتى ماتَ فأوصى أن تُجعَلَ في أكفانِه.</w:t>
      </w:r>
      <w:r>
        <w:rPr>
          <w:rStyle w:val="a5"/>
          <w:sz w:val="36"/>
          <w:szCs w:val="36"/>
        </w:rPr>
        <w:footnoteReference w:id="3"/>
      </w:r>
    </w:p>
    <w:p>
      <w:pPr>
        <w:spacing w:after="140" w:line="340" w:lineRule="auto"/>
        <w:jc w:val="both"/>
      </w:pPr>
      <w:r>
        <w:rPr>
          <w:color w:val="1A1A1A"/>
          <w:sz w:val="36"/>
          <w:szCs w:val="36"/>
        </w:rPr>
        <w:t xml:space="preserve">هذه النماذجُ ـ يا كرام ـ ليست لتأجيجِ العواطفِ والصُّراخ؛ ولكنّها لِنَعلَمَ كيف كانت محبَّةُ النبيِّ ﷺ عاملةً في القلوب، وكيف يكونُ الذَّبُّ عنه في زمنِنا هذا: بالعِلمِ والاتِّباعِ والثباتِ على دينِه، لا بما تُمليه الأهواء.</w:t>
      </w:r>
    </w:p>
    <w:p>
      <w:pPr>
        <w:spacing w:before="200" w:after="200"/>
        <w:jc w:val="both"/>
      </w:pPr>
      <w:r>
        <w:rPr>
          <w:color w:val="8A6A1F"/>
          <w:sz w:val="36"/>
          <w:szCs w:val="36"/>
        </w:rPr>
        <w:t xml:space="preserve">❊  ❊  ❊</w:t>
      </w:r>
    </w:p>
    <w:p>
      <w:pPr>
        <w:spacing w:before="260" w:after="120"/>
      </w:pPr>
      <w:r>
        <w:rPr>
          <w:b/>
          <w:bCs/>
          <w:color w:val="1F5C3A"/>
          <w:sz w:val="36"/>
          <w:szCs w:val="36"/>
        </w:rPr>
        <w:t xml:space="preserve">أولًا: اللهُ هو الذي رفعَ ذِكرَه</w:t>
      </w:r>
    </w:p>
    <w:p>
      <w:pPr>
        <w:spacing w:after="140" w:line="340" w:lineRule="auto"/>
        <w:jc w:val="both"/>
      </w:pPr>
      <w:r>
        <w:rPr>
          <w:color w:val="1A1A1A"/>
          <w:sz w:val="36"/>
          <w:szCs w:val="36"/>
        </w:rPr>
        <w:t xml:space="preserve">وواللهِ ما نقصَ الكفّارُ من قدرِه شيئًا؛ فقد قال ربي سبحانه: </w:t>
      </w:r>
      <w:r>
        <w:rPr>
          <w:b/>
          <w:bCs/>
          <w:color w:val="8A6A1F"/>
          <w:sz w:val="36"/>
          <w:szCs w:val="36"/>
        </w:rPr>
        <w:t xml:space="preserve">﴿وَرَفَعْنَا لَكَ ذِكْرَكَ﴾</w:t>
      </w:r>
      <w:r>
        <w:rPr>
          <w:color w:val="1A1A1A"/>
          <w:sz w:val="36"/>
          <w:szCs w:val="36"/>
        </w:rPr>
        <w:t xml:space="preserve">. فيا أمَّةَ محمدٍ ﷺ، لقد رفعَ اللهُ ذِكرَ نبيِّكم، فلا تحزَنوا ولا تَبتَئِسوا ولا تَيأَسوا.</w:t>
      </w:r>
    </w:p>
    <w:p>
      <w:pPr>
        <w:spacing w:after="140" w:line="340" w:lineRule="auto"/>
        <w:jc w:val="both"/>
      </w:pPr>
      <w:r>
        <w:rPr>
          <w:color w:val="1A1A1A"/>
          <w:sz w:val="36"/>
          <w:szCs w:val="36"/>
        </w:rPr>
        <w:t xml:space="preserve">رفعَه في الآخرةِ حين يتدافَعُ الأنبياءُ الشفاعةَ وكلٌّ يقول: نفسي نفسي، والربُّ غضبانُ والنارُ تَغلي؛ فينطلِقُ جموعُ المحشورين إلى محمدٍ ﷺ فيقول: </w:t>
      </w:r>
      <w:r>
        <w:rPr>
          <w:b/>
          <w:bCs/>
          <w:color w:val="1F5C3A"/>
          <w:sz w:val="36"/>
          <w:szCs w:val="36"/>
        </w:rPr>
        <w:t xml:space="preserve">«أنا لها، أنا لها»</w:t>
      </w:r>
      <w:r>
        <w:rPr>
          <w:color w:val="1A1A1A"/>
          <w:sz w:val="36"/>
          <w:szCs w:val="36"/>
        </w:rPr>
        <w:t xml:space="preserve">، فينطلِقُ فيسجُدُ بين يدَيِ اللهِ ويحمدُه ويُثني عليه، فيقولُ اللهُ سبحانه:</w:t>
      </w:r>
    </w:p>
    <w:p>
      <w:pPr>
        <w:pBdr>
          <w:right w:val="single" w:sz="12" w:space="10" w:color="8A6A1F"/>
        </w:pBdr>
        <w:spacing w:before="120" w:after="160" w:line="320" w:lineRule="auto"/>
        <w:ind w:left="504" w:right="504"/>
        <w:jc w:val="both"/>
      </w:pPr>
      <w:r>
        <w:rPr>
          <w:b/>
          <w:bCs/>
          <w:color w:val="1F5C3A"/>
          <w:sz w:val="36"/>
          <w:szCs w:val="36"/>
        </w:rPr>
        <w:t xml:space="preserve">«يا محمدُ، ارفَعْ رأسَك، وقُلْ يُسمَعْ، وسَلْ تُعطَه، واشفَعْ تُشفَّعْ»</w:t>
      </w:r>
      <w:r>
        <w:rPr>
          <w:rStyle w:val="a5"/>
          <w:sz w:val="36"/>
          <w:szCs w:val="36"/>
        </w:rPr>
        <w:footnoteReference w:id="4"/>
      </w:r>
    </w:p>
    <w:p>
      <w:pPr>
        <w:spacing w:after="140" w:line="340" w:lineRule="auto"/>
        <w:jc w:val="both"/>
      </w:pPr>
      <w:r>
        <w:rPr>
          <w:color w:val="1A1A1A"/>
          <w:sz w:val="36"/>
          <w:szCs w:val="36"/>
        </w:rPr>
        <w:t xml:space="preserve">فذلك هو المقامُ المحمود. ورفعَه في الدنيا فقرَنَ اسمَه باسمِه في الشهادة، وهو أوَّلُ من يَنشَقُّ عنه القبر، وأوَّلُ من يستفتِحُ بابَ الجنة، وصاحبُ الحوضِ المورودِ والمقامِ المحمود.</w:t>
      </w:r>
    </w:p>
    <w:p>
      <w:pPr>
        <w:spacing w:before="260" w:after="120"/>
      </w:pPr>
      <w:r>
        <w:rPr>
          <w:b/>
          <w:bCs/>
          <w:color w:val="1F5C3A"/>
          <w:sz w:val="36"/>
          <w:szCs w:val="36"/>
        </w:rPr>
        <w:t xml:space="preserve">ثانيًا: مظاهرُ رفعةِ اللهِ لنبيِّه</w:t>
      </w:r>
    </w:p>
    <w:p>
      <w:pPr>
        <w:spacing w:before="200" w:after="100"/>
      </w:pPr>
      <w:r>
        <w:rPr>
          <w:b/>
          <w:bCs/>
          <w:color w:val="1A1A1A"/>
          <w:sz w:val="36"/>
          <w:szCs w:val="36"/>
        </w:rPr>
        <w:t xml:space="preserve">١) أنّ دينَه هو الدينُ المقبولُ وحدَه</w:t>
      </w:r>
    </w:p>
    <w:p>
      <w:pPr>
        <w:spacing w:after="140" w:line="340" w:lineRule="auto"/>
        <w:jc w:val="both"/>
      </w:pPr>
      <w:r>
        <w:rPr>
          <w:color w:val="1A1A1A"/>
          <w:sz w:val="36"/>
          <w:szCs w:val="36"/>
        </w:rPr>
        <w:t xml:space="preserve">فدينُه ناسخٌ مُهيمِنٌ على جميعِ الأديان؛ ومن جاء يومَ القيامةِ بعد مبعثِه بدينٍ غيرِ الإسلامِ لم يُقبَلْ منه: </w:t>
      </w:r>
      <w:r>
        <w:rPr>
          <w:b/>
          <w:bCs/>
          <w:color w:val="8A6A1F"/>
          <w:sz w:val="36"/>
          <w:szCs w:val="36"/>
        </w:rPr>
        <w:t xml:space="preserve">﴿وَمَن يَبْتَغِ غَيْرَ الْإِسْلَامِ دِينًا فَلَن يُقْبَلَ مِنْهُ وَهُوَ فِي الْآخِرَةِ مِنَ الْخَاسِرِينَ﴾</w:t>
      </w:r>
      <w:r>
        <w:rPr>
          <w:color w:val="1A1A1A"/>
          <w:sz w:val="36"/>
          <w:szCs w:val="36"/>
        </w:rPr>
        <w:t xml:space="preserve">.</w:t>
      </w:r>
    </w:p>
    <w:p>
      <w:pPr>
        <w:spacing w:after="140" w:line="340" w:lineRule="auto"/>
        <w:jc w:val="both"/>
      </w:pPr>
      <w:r>
        <w:rPr>
          <w:color w:val="1A1A1A"/>
          <w:sz w:val="36"/>
          <w:szCs w:val="36"/>
        </w:rPr>
        <w:t xml:space="preserve">فنحن على عقيدةٍ صحيحة، نؤمنُ بكتابِ ربِّنا أنّ الإسلامَ هو الدينُ الذي لا يَقبلُ اللهُ اليومَ سواه؛ فما بقيَ إلا شرائعُ مَنسوخة. ولذلك ـ يا شبابَ الإسلامِ ويا شيوخَه ـ إنكم في زمانٍ يُروَّجُ فيه لِما يُسمّى </w:t>
      </w:r>
      <w:r>
        <w:rPr>
          <w:b/>
          <w:bCs/>
          <w:color w:val="1F5C3A"/>
          <w:sz w:val="36"/>
          <w:szCs w:val="36"/>
        </w:rPr>
        <w:t xml:space="preserve">«الدينَ الإبراهيميَّ»</w:t>
      </w:r>
      <w:r>
        <w:rPr>
          <w:color w:val="1A1A1A"/>
          <w:sz w:val="36"/>
          <w:szCs w:val="36"/>
        </w:rPr>
        <w:t xml:space="preserve">، دينِ الإنسانيةِ الجديد: دينٌ تتماهى فيه الأديانُ وتذوبُ فيه الثوابت! كلّا وربي، لن نَأذَنَ بذلك وفينا عينٌ تَطرِف. فاحفِرْ على جدارِ قلبِك وقلبِ ولدِك قولَ اللهِ سبحانه: </w:t>
      </w:r>
      <w:r>
        <w:rPr>
          <w:b/>
          <w:bCs/>
          <w:color w:val="8A6A1F"/>
          <w:sz w:val="36"/>
          <w:szCs w:val="36"/>
        </w:rPr>
        <w:t xml:space="preserve">﴿مَا كَانَ إِبْرَاهِيمُ يَهُودِيًّا وَلَا نَصْرَانِيًّا وَلَٰكِن كَانَ حَنِيفًا مُّسْلِمًا وَمَا كَانَ مِنَ الْمُشْرِكِينَ﴾</w:t>
      </w:r>
      <w:r>
        <w:rPr>
          <w:color w:val="1A1A1A"/>
          <w:sz w:val="36"/>
          <w:szCs w:val="36"/>
        </w:rPr>
        <w:t xml:space="preserve">.</w:t>
      </w:r>
    </w:p>
    <w:p>
      <w:pPr>
        <w:spacing w:before="200" w:after="100"/>
      </w:pPr>
      <w:r>
        <w:rPr>
          <w:b/>
          <w:bCs/>
          <w:color w:val="1A1A1A"/>
          <w:sz w:val="36"/>
          <w:szCs w:val="36"/>
        </w:rPr>
        <w:t xml:space="preserve">٢) أنّ النجاةَ لا تكونُ إلا باتِّباعِ سُنَّتِه</w:t>
      </w:r>
    </w:p>
    <w:p>
      <w:pPr>
        <w:spacing w:after="140" w:line="340" w:lineRule="auto"/>
        <w:jc w:val="both"/>
      </w:pPr>
      <w:r>
        <w:rPr>
          <w:color w:val="1A1A1A"/>
          <w:sz w:val="36"/>
          <w:szCs w:val="36"/>
        </w:rPr>
        <w:t xml:space="preserve">فمن آمنَ بالإسلامِ ولم يتَّبِعْ سُنَّةَ النبيِّ ﷺ في عقيدتِه وفقهِه وسلوكِه فلن ينجوَ يومَ القيامة، مهما ادَّعى المحبَّةَ ونادى بالتسامُح. كما قال ﷺ في حديثِ العِرباضِ بنِ ساريةَ ﵁ ـ قال: وعَظَنا رسولُ اللهِ ﷺ موعظةً وَجِلَتْ منها القلوبُ وذَرَفَتْ منها العيون، فقلنا: يا رسولَ الله، كأنّها موعظةُ مُودِّعٍ فأَوصِنا. قال:</w:t>
      </w:r>
    </w:p>
    <w:p>
      <w:pPr>
        <w:pBdr>
          <w:right w:val="single" w:sz="12" w:space="10" w:color="8A6A1F"/>
        </w:pBdr>
        <w:spacing w:before="120" w:after="160" w:line="320" w:lineRule="auto"/>
        <w:ind w:left="504" w:right="504"/>
        <w:jc w:val="both"/>
      </w:pPr>
      <w:r>
        <w:rPr>
          <w:b/>
          <w:bCs/>
          <w:color w:val="1F5C3A"/>
          <w:sz w:val="36"/>
          <w:szCs w:val="36"/>
        </w:rPr>
        <w:t xml:space="preserve">«أُوصيكم بتقوى اللهِ، والسمعِ والطاعةِ وإن تأمَّرَ عليكم عبدٌ حبشيّ؛ فإنه من يَعِشْ منكم فسيرى اختلافًا كثيرًا. فعليكم بسُنَّتي وسُنَّةِ الخلفاءِ الراشدين المهديِّين، تمسَّكوا بها وعَضُّوا عليها بالنواجذ، وإيّاكم ومُحدَثاتِ الأمور؛ فإنّ كلَّ بدعةٍ ضلالة»</w:t>
      </w:r>
      <w:r>
        <w:rPr>
          <w:rStyle w:val="a5"/>
          <w:sz w:val="36"/>
          <w:szCs w:val="36"/>
        </w:rPr>
        <w:footnoteReference w:id="5"/>
      </w:r>
    </w:p>
    <w:p>
      <w:pPr>
        <w:spacing w:after="140" w:line="340" w:lineRule="auto"/>
        <w:jc w:val="both"/>
      </w:pPr>
      <w:r>
        <w:rPr>
          <w:color w:val="1A1A1A"/>
          <w:sz w:val="36"/>
          <w:szCs w:val="36"/>
        </w:rPr>
        <w:t xml:space="preserve">وأخبَرَنا ﷺ أنّ هذه الأمَّةَ ستفترِق، فقال:</w:t>
      </w:r>
    </w:p>
    <w:p>
      <w:pPr>
        <w:pBdr>
          <w:right w:val="single" w:sz="12" w:space="10" w:color="8A6A1F"/>
        </w:pBdr>
        <w:spacing w:before="120" w:after="160" w:line="320" w:lineRule="auto"/>
        <w:ind w:left="504" w:right="504"/>
        <w:jc w:val="both"/>
      </w:pPr>
      <w:r>
        <w:rPr>
          <w:b/>
          <w:bCs/>
          <w:color w:val="1F5C3A"/>
          <w:sz w:val="36"/>
          <w:szCs w:val="36"/>
        </w:rPr>
        <w:t xml:space="preserve">«افترقَتِ اليهودُ على إحدى وسبعين فِرقة، وافترقَتِ النصارى على ثِنتين وسبعين فِرقة، وستفترِقُ أمَّتي على ثلاثٍ وسبعين فِرقة، كلُّها في النارِ إلا واحدة»</w:t>
      </w:r>
      <w:r>
        <w:rPr>
          <w:rStyle w:val="a5"/>
          <w:sz w:val="36"/>
          <w:szCs w:val="36"/>
        </w:rPr>
        <w:footnoteReference w:id="6"/>
      </w:r>
    </w:p>
    <w:p>
      <w:pPr>
        <w:spacing w:after="140" w:line="340" w:lineRule="auto"/>
        <w:jc w:val="both"/>
      </w:pPr>
      <w:r>
        <w:rPr>
          <w:color w:val="1A1A1A"/>
          <w:sz w:val="36"/>
          <w:szCs w:val="36"/>
        </w:rPr>
        <w:t xml:space="preserve">قالوا: ومن هي يا رسولَ الله؟ قال: </w:t>
      </w:r>
      <w:r>
        <w:rPr>
          <w:b/>
          <w:bCs/>
          <w:color w:val="1F5C3A"/>
          <w:sz w:val="36"/>
          <w:szCs w:val="36"/>
        </w:rPr>
        <w:t xml:space="preserve">«ما أنا عليه وأصحابي»</w:t>
      </w:r>
      <w:r>
        <w:rPr>
          <w:color w:val="1A1A1A"/>
          <w:sz w:val="36"/>
          <w:szCs w:val="36"/>
        </w:rPr>
        <w:t xml:space="preserve">. فهذا هو المِعيارُ والمِقياسُ: في ذِكرِك للهِ، وعبادتِك، وعقيدتِك، وأخلاقِك، وسلوكِك ـ كُنْ كما كان النبيُّ ﷺ وصحابتُه الكرام، وإيّاك ومُحدَثاتِ الأمور.</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فأسألُ اللهَ العليَّ الأعلى ربَّ العرشِ العظيمِ أن يُثبِّتَني وإيّاكم على التوحيدِ وعلى سُنَّةِ النبيِّ ﷺ، وأن يجعلَنا من الذابِّين عنها المدافعين؛ إنه وليُّ ذلك والقادرُ عليه.</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عبد الرحمن بن عوف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في مقتلِ سعدِ بنِ الرَّبيعِ ﵁ يومَ أُحُد؛ أخرجه مالكٌ في «الموطأ» بلاغًا، والحاكمُ في «المستدرك»، وابنُ إسحاقَ في «السيرة».</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عبد الله بن أُنَيسٍ ﵁؛ وذكرَه ابنُ القيم في «زاد المعاد» في سَراياه ﷺ. وقد جاء اسمُ الرجلِ في التسجيلِ «خالد بن نُبَيح»، وهو مُوافِقٌ لروايةِ الطبراني، واسمُه الكاملُ: خالدُ بنُ سُفيانَ بنِ نُبَيحٍ الهُذَليّ. والسَّريَّةُ كانت بأمرِ النبيِّ ﷺ في مواجهةِ من جمَعَ الجموعَ لغَزوِ المدينة، فهي من الجهادِ المنعقدِ برايةِ إمامِ المسلمين، لا من فعلِ آحادِ الناسِ بأنفسِهم.</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بن مالك ﵁ في حديثِ الشفاعةِ الطويل.</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وابنُ ماجه من حديث العِرباضِ بنِ سارية ﵁، وقال الترمذي: «حسن صحيح»، وصححه الألباني. (وقد جاء في التسجيلِ «العِرماض»، وصوابُه «العِرباض».)</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وابنُ ماجه من حديث أبي هريرة ومعاويةَ وعبدِ الله بن عمرٍو ﵃، وحسَّنه الألباني.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