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السَّرِقة</w:t>
      </w:r>
    </w:p>
    <w:p>
      <w:pPr>
        <w:spacing w:after="120"/>
      </w:pPr>
      <w:r>
        <w:rPr>
          <w:color w:val="8A6A1F"/>
          <w:sz w:val="36"/>
          <w:szCs w:val="36"/>
        </w:rPr>
        <w:t xml:space="preserve">ذنوبُ اليدَين: حقيقتُها، وآثارُها في الدنيا والآخرة</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w:t>
      </w:r>
    </w:p>
    <w:p>
      <w:pPr>
        <w:spacing w:after="140" w:line="340" w:lineRule="auto"/>
        <w:jc w:val="both"/>
      </w:pPr>
      <w:r>
        <w:rPr>
          <w:color w:val="1A1A1A"/>
          <w:sz w:val="36"/>
          <w:szCs w:val="36"/>
        </w:rPr>
        <w:t xml:space="preserve">وبعدُ، أحبَّتي في الله، معاشرَ المصلِّين: جريمةٌ بَشِعةٌ وخُلُقٌ ذميمٌ تأنَفُ منه الطبائعُ السليمة؛ عمَّتْ وانتشرَتْ حتى صارت في أذهانِ كثيرٍ من الناسِ هيِّنة، مع أنها كبيرةٌ من الكبائرِ توعَّدَ اللهُ فاعلَها. وما ارتَعَ الناسُ فيها إلا لجهلِهم بعاقبتِها؛ فترى الرجلَ يُصلِّي ويفعلُها، ويقرأُ القرآنَ ويفعلُها!</w:t>
      </w:r>
    </w:p>
    <w:p>
      <w:pPr>
        <w:spacing w:after="140" w:line="340" w:lineRule="auto"/>
        <w:jc w:val="both"/>
      </w:pPr>
      <w:r>
        <w:rPr>
          <w:color w:val="1A1A1A"/>
          <w:sz w:val="36"/>
          <w:szCs w:val="36"/>
        </w:rPr>
        <w:t xml:space="preserve">حديثي عن ذنبٍ من ذنوبِ اليدَين: **السَّرِقة**.</w:t>
      </w:r>
    </w:p>
    <w:p>
      <w:pPr>
        <w:spacing w:before="260" w:after="120"/>
      </w:pPr>
      <w:r>
        <w:rPr>
          <w:b/>
          <w:bCs/>
          <w:color w:val="1F5C3A"/>
          <w:sz w:val="36"/>
          <w:szCs w:val="36"/>
        </w:rPr>
        <w:t xml:space="preserve">أولًا: ما السَّرِقة؟</w:t>
      </w:r>
    </w:p>
    <w:p>
      <w:pPr>
        <w:spacing w:after="140" w:line="340" w:lineRule="auto"/>
        <w:jc w:val="both"/>
      </w:pPr>
      <w:r>
        <w:rPr>
          <w:color w:val="1A1A1A"/>
          <w:sz w:val="36"/>
          <w:szCs w:val="36"/>
        </w:rPr>
        <w:t xml:space="preserve">هي **أخذُ مالِ الغيرِ أو متاعِه بغيرِ حقٍّ على وجهِ الخُفية**. فأن تعتديَ على مالِ غيرِك ـ مسلمًا كان أو غيرَ مسلم ـ في الخفاءِ حيث لا يراك أحد، فهذه سرقة. **وسواءٌ كان المالُ خاصًّا أو عامًّا**؛ فالمالُ العامُّ أشدُّ، لأنّ الخصومةَ فيه مع جميعِ المسلمين.</w:t>
      </w:r>
    </w:p>
    <w:p>
      <w:pPr>
        <w:spacing w:before="260" w:after="120"/>
      </w:pPr>
      <w:r>
        <w:rPr>
          <w:b/>
          <w:bCs/>
          <w:color w:val="1F5C3A"/>
          <w:sz w:val="36"/>
          <w:szCs w:val="36"/>
        </w:rPr>
        <w:t xml:space="preserve">ثانيًا: آثارُها في الدنيا</w:t>
      </w:r>
    </w:p>
    <w:p>
      <w:pPr>
        <w:spacing w:before="200" w:after="100"/>
      </w:pPr>
      <w:r>
        <w:rPr>
          <w:b/>
          <w:bCs/>
          <w:color w:val="1A1A1A"/>
          <w:sz w:val="36"/>
          <w:szCs w:val="36"/>
        </w:rPr>
        <w:t xml:space="preserve">١) الحدُّ المُقدَّرُ في الشريعة</w:t>
      </w:r>
    </w:p>
    <w:p>
      <w:pPr>
        <w:spacing w:after="140" w:line="340" w:lineRule="auto"/>
        <w:jc w:val="both"/>
      </w:pPr>
      <w:r>
        <w:rPr>
          <w:color w:val="1A1A1A"/>
          <w:sz w:val="36"/>
          <w:szCs w:val="36"/>
        </w:rPr>
        <w:t xml:space="preserve">قال تعالى:</w:t>
      </w:r>
    </w:p>
    <w:p>
      <w:pPr>
        <w:pBdr>
          <w:right w:val="single" w:sz="12" w:space="10" w:color="8A6A1F"/>
        </w:pBdr>
        <w:spacing w:before="120" w:after="160" w:line="320" w:lineRule="auto"/>
        <w:ind w:left="504" w:right="504"/>
        <w:jc w:val="both"/>
      </w:pPr>
      <w:r>
        <w:rPr>
          <w:b/>
          <w:bCs/>
          <w:color w:val="8A6A1F"/>
          <w:sz w:val="36"/>
          <w:szCs w:val="36"/>
        </w:rPr>
        <w:t xml:space="preserve">﴿وَالسَّارِقُ وَالسَّارِقَةُ فَاقْطَعُوا أَيْدِيَهُمَا جَزَاءً بِمَا كَسَبَا نَكَالًا مِّنَ اللَّهِ ۗ وَاللَّهُ عَزِيزٌ حَكِيمٌ﴾</w:t>
      </w:r>
    </w:p>
    <w:p>
      <w:pPr>
        <w:spacing w:after="140" w:line="340" w:lineRule="auto"/>
        <w:jc w:val="both"/>
      </w:pPr>
      <w:r>
        <w:rPr>
          <w:color w:val="1A1A1A"/>
          <w:sz w:val="36"/>
          <w:szCs w:val="36"/>
        </w:rPr>
        <w:t xml:space="preserve">**وهذا حدٌّ مُقدَّرٌ في الشريعةِ تُقيمُه السلطةُ صاحبةُ الولايةِ عبرَ قضائِها، بشروطٍ مُغلَّظةٍ في الإثبات** ـ من بلوغِ النِّصاب، وكونِ المسروقِ من حِرزٍ مِثلِه، وانتفاءِ الشُّبهة؛ **ولا يستقِلُّ به أحدٌ من آحادِ الناسِ بحال**. وقد دَرَأَ عمرُ ﵁ الحدَّ عامَ المجاعةِ لقيامِ الشُّبهة.</w:t>
      </w:r>
      <w:r>
        <w:rPr>
          <w:rStyle w:val="a5"/>
          <w:sz w:val="36"/>
          <w:szCs w:val="36"/>
        </w:rPr>
        <w:footnoteReference w:id="1"/>
      </w:r>
    </w:p>
    <w:p>
      <w:pPr>
        <w:spacing w:after="140" w:line="340" w:lineRule="auto"/>
        <w:jc w:val="both"/>
      </w:pPr>
      <w:r>
        <w:rPr>
          <w:color w:val="1A1A1A"/>
          <w:sz w:val="36"/>
          <w:szCs w:val="36"/>
        </w:rPr>
        <w:t xml:space="preserve">فالمقصودُ من ذِكرِه الزَّجرُ وبيانُ عِظَمِ الجُرمِ عند الله، لا أن يُنزِلَه أحدٌ بأحد.</w:t>
      </w:r>
    </w:p>
    <w:p>
      <w:pPr>
        <w:spacing w:before="200" w:after="100"/>
      </w:pPr>
      <w:r>
        <w:rPr>
          <w:b/>
          <w:bCs/>
          <w:color w:val="1A1A1A"/>
          <w:sz w:val="36"/>
          <w:szCs w:val="36"/>
        </w:rPr>
        <w:t xml:space="preserve">٢) أنّ صاحبَها ملعون</w:t>
      </w:r>
    </w:p>
    <w:p>
      <w:pPr>
        <w:spacing w:after="140" w:line="340" w:lineRule="auto"/>
        <w:jc w:val="both"/>
      </w:pPr>
      <w:r>
        <w:rPr>
          <w:color w:val="1A1A1A"/>
          <w:sz w:val="36"/>
          <w:szCs w:val="36"/>
        </w:rPr>
        <w:t xml:space="preserve">فالمَلعونُ مطرودٌ من رحمةِ الله؛ قال ﷺ:</w:t>
      </w:r>
    </w:p>
    <w:p>
      <w:pPr>
        <w:pBdr>
          <w:right w:val="single" w:sz="12" w:space="10" w:color="8A6A1F"/>
        </w:pBdr>
        <w:spacing w:before="120" w:after="160" w:line="320" w:lineRule="auto"/>
        <w:ind w:left="504" w:right="504"/>
        <w:jc w:val="both"/>
      </w:pPr>
      <w:r>
        <w:rPr>
          <w:b/>
          <w:bCs/>
          <w:color w:val="1F5C3A"/>
          <w:sz w:val="36"/>
          <w:szCs w:val="36"/>
        </w:rPr>
        <w:t xml:space="preserve">«لعنَ اللهُ السارقَ يسرِقُ البَيضةَ فتُقطَعُ يدُه، ويسرِقُ الحبلَ فتُقطَعُ يدُه»</w:t>
      </w:r>
      <w:r>
        <w:rPr>
          <w:rStyle w:val="a5"/>
          <w:sz w:val="36"/>
          <w:szCs w:val="36"/>
        </w:rPr>
        <w:footnoteReference w:id="2"/>
      </w:r>
    </w:p>
    <w:p>
      <w:pPr>
        <w:spacing w:after="140" w:line="340" w:lineRule="auto"/>
        <w:jc w:val="both"/>
      </w:pPr>
      <w:r>
        <w:rPr>
          <w:color w:val="1A1A1A"/>
          <w:sz w:val="36"/>
          <w:szCs w:val="36"/>
        </w:rPr>
        <w:t xml:space="preserve">أتُحِبُّ أن تعيشَ ملعونًا؟!</w:t>
      </w:r>
    </w:p>
    <w:p>
      <w:pPr>
        <w:spacing w:before="200" w:after="100"/>
      </w:pPr>
      <w:r>
        <w:rPr>
          <w:b/>
          <w:bCs/>
          <w:color w:val="1A1A1A"/>
          <w:sz w:val="36"/>
          <w:szCs w:val="36"/>
        </w:rPr>
        <w:t xml:space="preserve">٣) سَلْبُ كمالِ الإيمان</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«لا يسرِقُ السارقُ حين يسرِقُ وهو مؤمن»</w:t>
      </w:r>
      <w:r>
        <w:rPr>
          <w:rStyle w:val="a5"/>
          <w:sz w:val="36"/>
          <w:szCs w:val="36"/>
        </w:rPr>
        <w:footnoteReference w:id="3"/>
      </w:r>
    </w:p>
    <w:p>
      <w:pPr>
        <w:spacing w:after="140" w:line="340" w:lineRule="auto"/>
        <w:jc w:val="both"/>
      </w:pPr>
      <w:r>
        <w:rPr>
          <w:color w:val="1A1A1A"/>
          <w:sz w:val="36"/>
          <w:szCs w:val="36"/>
        </w:rPr>
        <w:t xml:space="preserve">فاتَّقِ اللهَ في إيمانِك.</w:t>
      </w:r>
    </w:p>
    <w:p>
      <w:pPr>
        <w:spacing w:before="260" w:after="120"/>
      </w:pPr>
      <w:r>
        <w:rPr>
          <w:b/>
          <w:bCs/>
          <w:color w:val="1F5C3A"/>
          <w:sz w:val="36"/>
          <w:szCs w:val="36"/>
        </w:rPr>
        <w:t xml:space="preserve">ثالثًا: آثارُها في الآخرة</w:t>
      </w:r>
    </w:p>
    <w:p>
      <w:pPr>
        <w:spacing w:before="200" w:after="100"/>
      </w:pPr>
      <w:r>
        <w:rPr>
          <w:b/>
          <w:bCs/>
          <w:color w:val="1A1A1A"/>
          <w:sz w:val="36"/>
          <w:szCs w:val="36"/>
        </w:rPr>
        <w:t xml:space="preserve">١) الوعيدُ بالنار</w:t>
      </w:r>
    </w:p>
    <w:p>
      <w:pPr>
        <w:spacing w:after="140" w:line="340" w:lineRule="auto"/>
        <w:jc w:val="both"/>
      </w:pPr>
      <w:r>
        <w:rPr>
          <w:color w:val="1A1A1A"/>
          <w:sz w:val="36"/>
          <w:szCs w:val="36"/>
        </w:rPr>
        <w:t xml:space="preserve">روى البخاريُّ ومسلمٌ عن عمرَ ﵁ قال: لمّا كان يومُ خيبرَ أقبلَ نفَرٌ من الصحابةِ فقالوا: فلانٌ شهيد، وفلانٌ شهيد؛ حتى مرُّوا على رجلٍ فقالوا: فلانٌ شهيد. فقال ﷺ:</w:t>
      </w:r>
    </w:p>
    <w:p>
      <w:pPr>
        <w:pBdr>
          <w:right w:val="single" w:sz="12" w:space="10" w:color="8A6A1F"/>
        </w:pBdr>
        <w:spacing w:before="120" w:after="160" w:line="320" w:lineRule="auto"/>
        <w:ind w:left="504" w:right="504"/>
        <w:jc w:val="both"/>
      </w:pPr>
      <w:r>
        <w:rPr>
          <w:b/>
          <w:bCs/>
          <w:color w:val="1F5C3A"/>
          <w:sz w:val="36"/>
          <w:szCs w:val="36"/>
        </w:rPr>
        <w:t xml:space="preserve">«كلّا؛ إني رأيتُه في النارِ في بُردةٍ غَلَّها ـ أو عباءةٍ»</w:t>
      </w:r>
      <w:r>
        <w:rPr>
          <w:rStyle w:val="a5"/>
          <w:sz w:val="36"/>
          <w:szCs w:val="36"/>
        </w:rPr>
        <w:footnoteReference w:id="4"/>
      </w:r>
    </w:p>
    <w:p>
      <w:pPr>
        <w:spacing w:after="140" w:line="340" w:lineRule="auto"/>
        <w:jc w:val="both"/>
      </w:pPr>
      <w:r>
        <w:rPr>
          <w:color w:val="1A1A1A"/>
          <w:sz w:val="36"/>
          <w:szCs w:val="36"/>
        </w:rPr>
        <w:t xml:space="preserve">قُتِلَ في قتالٍ ومع ذلك رآه ﷺ في النار! بسببِ قطعةِ قماشٍ أخذَها من الغنيمةِ قبل قسمتِها ـ وهو **الغُلول**. فأين الذين يَسرِقون الملايينَ من أموالِ الناسِ والأيتامِ والمساكين؟!</w:t>
      </w:r>
    </w:p>
    <w:p>
      <w:pPr>
        <w:spacing w:before="200" w:after="100"/>
      </w:pPr>
      <w:r>
        <w:rPr>
          <w:b/>
          <w:bCs/>
          <w:color w:val="1A1A1A"/>
          <w:sz w:val="36"/>
          <w:szCs w:val="36"/>
        </w:rPr>
        <w:t xml:space="preserve">٢) أن يَحمِلَ ما سرَقَه على رقبتِه</w:t>
      </w:r>
    </w:p>
    <w:p>
      <w:pPr>
        <w:spacing w:after="140" w:line="340" w:lineRule="auto"/>
        <w:jc w:val="both"/>
      </w:pPr>
      <w:r>
        <w:rPr>
          <w:color w:val="1A1A1A"/>
          <w:sz w:val="36"/>
          <w:szCs w:val="36"/>
        </w:rPr>
        <w:t xml:space="preserve">قال تعالى: </w:t>
      </w:r>
      <w:r>
        <w:rPr>
          <w:b/>
          <w:bCs/>
          <w:color w:val="8A6A1F"/>
          <w:sz w:val="36"/>
          <w:szCs w:val="36"/>
        </w:rPr>
        <w:t xml:space="preserve">﴿وَمَن يَغْلُلْ يَأْتِ بِمَا غَلَّ يَوْمَ الْقِيَامَةِ﴾</w:t>
      </w:r>
      <w:r>
        <w:rPr>
          <w:color w:val="1A1A1A"/>
          <w:sz w:val="36"/>
          <w:szCs w:val="36"/>
        </w:rPr>
        <w:t xml:space="preserve">. وقال ﷺ مُحذِّرًا:</w:t>
      </w:r>
    </w:p>
    <w:p>
      <w:pPr>
        <w:pBdr>
          <w:right w:val="single" w:sz="12" w:space="10" w:color="8A6A1F"/>
        </w:pBdr>
        <w:spacing w:before="120" w:after="160" w:line="320" w:lineRule="auto"/>
        <w:ind w:left="504" w:right="504"/>
        <w:jc w:val="both"/>
      </w:pPr>
      <w:r>
        <w:rPr>
          <w:b/>
          <w:bCs/>
          <w:color w:val="1F5C3A"/>
          <w:sz w:val="36"/>
          <w:szCs w:val="36"/>
        </w:rPr>
        <w:t xml:space="preserve">«لا أُلفِيَنَّ أحدَكم يجيءُ يومَ القيامةِ على رقبتِه بعيرٌ له رُغاء، يقول: يا رسولَ الله أَغِثْني! فأقول: لا أملِكُ لك من اللهِ شيئًا، قد أبلَغتُك. لا أُلفِيَنَّ أحدَكم يجيءُ يومَ القيامةِ على رقبتِه فرَسٌ له حَمحَمة... على رقبتِه شاةٌ لها ثُغاء... على رقبتِه صامِتٌ...»</w:t>
      </w:r>
      <w:r>
        <w:rPr>
          <w:rStyle w:val="a5"/>
          <w:sz w:val="36"/>
          <w:szCs w:val="36"/>
        </w:rPr>
        <w:footnoteReference w:id="5"/>
      </w:r>
    </w:p>
    <w:p>
      <w:pPr>
        <w:spacing w:after="140" w:line="340" w:lineRule="auto"/>
        <w:jc w:val="both"/>
      </w:pPr>
      <w:r>
        <w:rPr>
          <w:color w:val="1A1A1A"/>
          <w:sz w:val="36"/>
          <w:szCs w:val="36"/>
        </w:rPr>
        <w:t xml:space="preserve">و</w:t>
      </w:r>
      <w:r>
        <w:rPr>
          <w:b/>
          <w:bCs/>
          <w:color w:val="1F5C3A"/>
          <w:sz w:val="36"/>
          <w:szCs w:val="36"/>
        </w:rPr>
        <w:t xml:space="preserve">«الصامت»</w:t>
      </w:r>
      <w:r>
        <w:rPr>
          <w:color w:val="1A1A1A"/>
          <w:sz w:val="36"/>
          <w:szCs w:val="36"/>
        </w:rPr>
        <w:t xml:space="preserve">: الذهبُ والفضة. فترضى بهذا المَحشر؟!</w:t>
      </w:r>
    </w:p>
    <w:p>
      <w:pPr>
        <w:spacing w:before="200" w:after="100"/>
      </w:pPr>
      <w:r>
        <w:rPr>
          <w:b/>
          <w:bCs/>
          <w:color w:val="1A1A1A"/>
          <w:sz w:val="36"/>
          <w:szCs w:val="36"/>
        </w:rPr>
        <w:t xml:space="preserve">٣) شهادةُ اليدِ عليه</w:t>
      </w:r>
    </w:p>
    <w:p>
      <w:pPr>
        <w:spacing w:after="140" w:line="340" w:lineRule="auto"/>
        <w:jc w:val="both"/>
      </w:pPr>
      <w:r>
        <w:rPr>
          <w:color w:val="1A1A1A"/>
          <w:sz w:val="36"/>
          <w:szCs w:val="36"/>
        </w:rPr>
        <w:t xml:space="preserve">فهذه اليدُ التي أكرمَك اللهُ بها ستشهدُ عليك:</w:t>
      </w:r>
    </w:p>
    <w:p>
      <w:pPr>
        <w:pBdr>
          <w:right w:val="single" w:sz="12" w:space="10" w:color="8A6A1F"/>
        </w:pBdr>
        <w:spacing w:before="120" w:after="160" w:line="320" w:lineRule="auto"/>
        <w:ind w:left="504" w:right="504"/>
        <w:jc w:val="both"/>
      </w:pPr>
      <w:r>
        <w:rPr>
          <w:b/>
          <w:bCs/>
          <w:color w:val="8A6A1F"/>
          <w:sz w:val="36"/>
          <w:szCs w:val="36"/>
        </w:rPr>
        <w:t xml:space="preserve">﴿يَوْمَ تَشْهَدُ عَلَيْهِمْ أَلْسِنَتُهُمْ وَأَيْدِيهِمْ وَأَرْجُلُهُم بِمَا كَانُوا يَعْمَلُونَ ۝ يَوْمَئِذٍ يُوَفِّيهِمُ اللَّهُ دِينَهُمُ الْحَقَّ﴾</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رابعًا: مسألةُ الماءِ والكهرباء</w:t>
      </w:r>
    </w:p>
    <w:p>
      <w:pPr>
        <w:spacing w:after="140" w:line="340" w:lineRule="auto"/>
        <w:jc w:val="both"/>
      </w:pPr>
      <w:r>
        <w:rPr>
          <w:color w:val="1A1A1A"/>
          <w:sz w:val="36"/>
          <w:szCs w:val="36"/>
        </w:rPr>
        <w:t xml:space="preserve">نصيحةُ مُحِبٍّ لكم: **إنّ الماءَ والكهرباءَ لا تجوزُ سرقتُهما.** فمن ظنَّ أنّ حديثَ **</w:t>
      </w:r>
      <w:r>
        <w:rPr>
          <w:b/>
          <w:bCs/>
          <w:color w:val="1F5C3A"/>
          <w:sz w:val="36"/>
          <w:szCs w:val="36"/>
        </w:rPr>
        <w:t xml:space="preserve">«الناسُ شركاءُ في ثلاث: في الماءِ والكلإِ والنار»</w:t>
      </w:r>
      <w:r>
        <w:rPr>
          <w:color w:val="1A1A1A"/>
          <w:sz w:val="36"/>
          <w:szCs w:val="36"/>
        </w:rPr>
        <w:t xml:space="preserve">**</w:t>
      </w:r>
      <w:r>
        <w:rPr>
          <w:rStyle w:val="a5"/>
          <w:sz w:val="36"/>
          <w:szCs w:val="36"/>
        </w:rPr>
        <w:footnoteReference w:id="6"/>
      </w:r>
      <w:r>
        <w:rPr>
          <w:color w:val="1A1A1A"/>
          <w:sz w:val="36"/>
          <w:szCs w:val="36"/>
        </w:rPr>
        <w:t xml:space="preserve"> يُبيحُ ذلك فقد أخطأَ موضعَ الاستدلال؛ فإنّ ذلك محمولٌ ـ عند أهلِ العلمِ ـ على المياهِ والمراعي والحطبِ المُباحةِ في أصلِها التي لم يَجرِ عليها عملُ أحدٍ ولا مِلكُه؛ **وأمّا ما جرى عليه عملٌ وكُلفةٌ وصار مملوكًا لجهةٍ أو لأشخاصٍ فحُكمُه حُكمُ سائرِ الأموال.**</w:t>
      </w:r>
    </w:p>
    <w:p>
      <w:pPr>
        <w:spacing w:after="140" w:line="340" w:lineRule="auto"/>
        <w:jc w:val="both"/>
      </w:pPr>
      <w:r>
        <w:rPr>
          <w:color w:val="1A1A1A"/>
          <w:sz w:val="36"/>
          <w:szCs w:val="36"/>
        </w:rPr>
        <w:t xml:space="preserve">وقد نصَّ الفقهاءُ على أنّ من توضَّأَ بماءٍ مغصوبٍ فقد أثِم؛ واختلفوا في صحَّةِ وضوئِه: فذهبَ الحنابلةُ إلى بُطلانِه، وذهبَ الجمهورُ إلى صحَّتِه مع الإثم؛ لأنّ النَّهيَ عائدٌ إلى الغَصبِ لا إلى الطهارةِ نفسِها.</w:t>
      </w:r>
      <w:r>
        <w:rPr>
          <w:rStyle w:val="a5"/>
          <w:sz w:val="36"/>
          <w:szCs w:val="36"/>
        </w:rPr>
        <w:footnoteReference w:id="7"/>
      </w:r>
      <w:r>
        <w:rPr>
          <w:color w:val="1A1A1A"/>
          <w:sz w:val="36"/>
          <w:szCs w:val="36"/>
        </w:rPr>
        <w:t xml:space="preserve"> **وعلى القولَين جميعًا فالفعلُ حرام**، وهذا هو المقصود.</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فيا مسلم: دنانيرُ تَهوي بك في النار، ودنانيرُ تُنجيك عند العزيزِ الجبّار. فاتَّقِ اللهَ وطهِّرْ كسبَك.</w:t>
      </w:r>
    </w:p>
    <w:p>
      <w:pPr>
        <w:spacing w:after="140" w:line="340" w:lineRule="auto"/>
        <w:jc w:val="both"/>
      </w:pPr>
      <w:r>
        <w:rPr>
          <w:color w:val="1A1A1A"/>
          <w:sz w:val="36"/>
          <w:szCs w:val="36"/>
        </w:rPr>
        <w:t xml:space="preserve">أسألُ اللهَ العظيمَ ربَّ العرشِ العظيمِ أن يُباعِدَ بيننا وبين السرقةِ بكلِّ صُوَرِها كما باعدَ بين المشرقِ والمغرب، وأن يُطهِّرَ مطاعِمَنا ومَشارِبَنا؛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اللهم أَسبِغْ علينا نعمةَ الأمنِ والإيمان.</w:t>
      </w:r>
    </w:p>
    <w:p>
      <w:pPr>
        <w:spacing w:after="140" w:line="340" w:lineRule="auto"/>
        <w:jc w:val="both"/>
      </w:pPr>
      <w:r>
        <w:rPr>
          <w:color w:val="1A1A1A"/>
          <w:sz w:val="36"/>
          <w:szCs w:val="36"/>
        </w:rPr>
        <w:t xml:space="preserve">اللهم كُنْ مع إخوانِنا المستضعَفين، وفرِّجْ كُرَبَهم. اللهم مُنزِلَ الكتاب، مُجرِيَ السحاب، هازمَ الأحزاب: اهزِمْ من اعتدى عليهم وانصُرْنا عليهم.</w:t>
      </w:r>
      <w:r>
        <w:rPr>
          <w:rStyle w:val="a5"/>
          <w:sz w:val="36"/>
          <w:szCs w:val="36"/>
        </w:rPr>
        <w:footnoteReference w:id="8"/>
      </w:r>
      <w:r>
        <w:rPr>
          <w:color w:val="1A1A1A"/>
          <w:sz w:val="36"/>
          <w:szCs w:val="36"/>
        </w:rPr>
        <w:t xml:space="preserve">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فقهِ عمر بن الخطاب ﵁ في عامِ الرَّمادة؛ رواه ابنُ أبي شيبةَ والبيهقيُّ وغيرُهما، وهو أصلٌ عند أهلِ العلمِ في دَرءِ الحدودِ بالشُّبُهات؛ لقولِه ﷺ: «ادرَؤوا الحدودَ عن المسلمين ما استطعتُم».</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عمر بن الخطاب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 في الغُلول.</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وابنُ ماجه من حديث ابن عباس ﵄، وصححه الألباني. وقد بيَّنَ أهلُ العلمِ أنّ المرادَ بالماءِ ما لم يَحُزْه أحدٌ ولم يُملَك.</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المسألةُ خلافيةٌ مبسوطةٌ في كتبِ الفقه؛ انظُرْ «المغني» لابن قدامة و«المجموع» للنووي.</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