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ذِكرُ الله: شِعارُ العَشْر</w:t>
      </w:r>
    </w:p>
    <w:p>
      <w:pPr>
        <w:spacing w:after="120"/>
      </w:pPr>
      <w:r>
        <w:rPr>
          <w:color w:val="8A6A1F"/>
          <w:sz w:val="36"/>
          <w:szCs w:val="36"/>
        </w:rPr>
        <w:t xml:space="preserve">فضلُ عشرِ ذي الحجَّة، وفضائلُ الذِّكر</w:t>
      </w:r>
    </w:p>
    <w:p>
      <w:pPr>
        <w:pBdr>
          <w:top w:val="single" w:sz="6" w:space="8" w:color="8A6A1F"/>
        </w:pBdr>
        <w:spacing w:after="60"/>
      </w:pPr>
      <w:r>
        <w:rPr>
          <w:color w:val="555555"/>
          <w:sz w:val="36"/>
          <w:szCs w:val="36"/>
        </w:rPr>
        <w:t xml:space="preserve">خُطبةُ جُمُعة | د. عماد بن يونس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بائعُ الثلج</w:t>
      </w:r>
    </w:p>
    <w:p>
      <w:pPr>
        <w:spacing w:after="140" w:line="340" w:lineRule="auto"/>
        <w:jc w:val="both"/>
      </w:pPr>
      <w:r>
        <w:rPr>
          <w:color w:val="1A1A1A"/>
          <w:sz w:val="36"/>
          <w:szCs w:val="36"/>
        </w:rPr>
        <w:t xml:space="preserve">وبعدُ، أحبَّتي في الله، معاشرَ المصلِّين: خرجَ إلى السوقِ فشدَّه منظرُ رجلٍ يبيعُ الثلجَ وهو يُنادي بكلماتٍ ملؤُها الحسرة:</w:t>
      </w:r>
    </w:p>
    <w:p>
      <w:pPr>
        <w:pBdr>
          <w:right w:val="single" w:sz="12" w:space="10" w:color="8A6A1F"/>
        </w:pBdr>
        <w:spacing w:before="120" w:after="160" w:line="320" w:lineRule="auto"/>
        <w:ind w:left="504" w:right="504"/>
        <w:jc w:val="both"/>
      </w:pPr>
      <w:r>
        <w:rPr>
          <w:b/>
          <w:bCs/>
          <w:color w:val="1F5C3A"/>
          <w:sz w:val="36"/>
          <w:szCs w:val="36"/>
        </w:rPr>
        <w:t xml:space="preserve">«ارحَموا من يذوبُ رأسُ مالِه! ارحَموا من يذوبُ رأسُ مالِه!»</w:t>
      </w:r>
    </w:p>
    <w:p>
      <w:pPr>
        <w:spacing w:after="140" w:line="340" w:lineRule="auto"/>
        <w:jc w:val="both"/>
      </w:pPr>
      <w:r>
        <w:rPr>
          <w:color w:val="1A1A1A"/>
          <w:sz w:val="36"/>
          <w:szCs w:val="36"/>
        </w:rPr>
        <w:t xml:space="preserve">فقال بعضُ السلف: **تعلَّمتُ سورةَ العصرِ من بائعِ الثلج.**</w:t>
      </w:r>
      <w:r>
        <w:rPr>
          <w:rStyle w:val="a5"/>
          <w:sz w:val="36"/>
          <w:szCs w:val="36"/>
        </w:rPr>
        <w:footnoteReference w:id="1"/>
      </w:r>
    </w:p>
    <w:p>
      <w:pPr>
        <w:spacing w:after="140" w:line="340" w:lineRule="auto"/>
        <w:jc w:val="both"/>
      </w:pPr>
      <w:r>
        <w:rPr>
          <w:color w:val="1A1A1A"/>
          <w:sz w:val="36"/>
          <w:szCs w:val="36"/>
        </w:rPr>
        <w:t xml:space="preserve">أيها المسلم: رأسُ مالِك يذوبُ في كلِّ لحظة، وذَهابُه خسارة: </w:t>
      </w:r>
      <w:r>
        <w:rPr>
          <w:b/>
          <w:bCs/>
          <w:color w:val="8A6A1F"/>
          <w:sz w:val="36"/>
          <w:szCs w:val="36"/>
        </w:rPr>
        <w:t xml:space="preserve">﴿وَالْعَصْرِ ۝ إِنَّ الْإِنسَانَ لَفِي خُسْرٍ﴾</w:t>
      </w:r>
      <w:r>
        <w:rPr>
          <w:color w:val="1A1A1A"/>
          <w:sz w:val="36"/>
          <w:szCs w:val="36"/>
        </w:rPr>
        <w:t xml:space="preserve">. ولا سيّما إن كنتَ غافلًا عن أيامٍ فاضلاتٍ مُبارَكات.</w:t>
      </w:r>
    </w:p>
    <w:p>
      <w:pPr>
        <w:spacing w:after="140" w:line="340" w:lineRule="auto"/>
        <w:jc w:val="both"/>
      </w:pPr>
      <w:r>
        <w:rPr>
          <w:color w:val="1A1A1A"/>
          <w:sz w:val="36"/>
          <w:szCs w:val="36"/>
        </w:rPr>
        <w:t xml:space="preserve">فحديثي عن اغتنامِ **عشرِ ذي الحجَّة**، تلك الأيامِ التي أقسمَ اللهُ بها: </w:t>
      </w:r>
      <w:r>
        <w:rPr>
          <w:b/>
          <w:bCs/>
          <w:color w:val="8A6A1F"/>
          <w:sz w:val="36"/>
          <w:szCs w:val="36"/>
        </w:rPr>
        <w:t xml:space="preserve">﴿وَالْفَجْرِ ۝ وَلَيَالٍ عَشْرٍ﴾</w:t>
      </w:r>
      <w:r>
        <w:rPr>
          <w:color w:val="1A1A1A"/>
          <w:sz w:val="36"/>
          <w:szCs w:val="36"/>
        </w:rPr>
        <w:t xml:space="preserve">؛ قال جمهورُ المفسِّرين: هي عشرُ ذي الحجة.</w:t>
      </w:r>
      <w:r>
        <w:rPr>
          <w:rStyle w:val="a5"/>
          <w:sz w:val="36"/>
          <w:szCs w:val="36"/>
        </w:rPr>
        <w:footnoteReference w:id="2"/>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«ما من أيامٍ العملُ الصالحُ فيهنَّ أحَبُّ إلى اللهِ من هذه الأيامِ العَشْر»</w:t>
      </w:r>
      <w:r>
        <w:rPr>
          <w:b/>
          <w:bCs/>
          <w:color w:val="1F5C3A"/>
          <w:sz w:val="36"/>
          <w:szCs w:val="36"/>
        </w:rPr>
        <w:t xml:space="preserve">. قالوا: يا رسولَ الله، ولا الجهادُ في سبيلِ الله؟ قال: </w:t>
      </w:r>
      <w:r>
        <w:rPr>
          <w:b/>
          <w:bCs/>
          <w:color w:val="1F5C3A"/>
          <w:sz w:val="36"/>
          <w:szCs w:val="36"/>
        </w:rPr>
        <w:t xml:space="preserve">«ولا الجهادُ في سبيلِ الله، إلا رجلٌ خرجَ بنفسِه ومالِه فلم يرجِعْ من ذلك بشيء»</w:t>
      </w:r>
      <w:r>
        <w:rPr>
          <w:rStyle w:val="a5"/>
          <w:sz w:val="36"/>
          <w:szCs w:val="36"/>
        </w:rPr>
        <w:footnoteReference w:id="3"/>
      </w:r>
    </w:p>
    <w:p>
      <w:pPr>
        <w:spacing w:before="260" w:after="120"/>
      </w:pPr>
      <w:r>
        <w:rPr>
          <w:b/>
          <w:bCs/>
          <w:color w:val="1F5C3A"/>
          <w:sz w:val="36"/>
          <w:szCs w:val="36"/>
        </w:rPr>
        <w:t xml:space="preserve">أولًا: الذِّكرُ شِعارُ هذه الأيام</w:t>
      </w:r>
    </w:p>
    <w:p>
      <w:pPr>
        <w:spacing w:after="140" w:line="340" w:lineRule="auto"/>
        <w:jc w:val="both"/>
      </w:pPr>
      <w:r>
        <w:rPr>
          <w:color w:val="1A1A1A"/>
          <w:sz w:val="36"/>
          <w:szCs w:val="36"/>
        </w:rPr>
        <w:t xml:space="preserve">استجابةً لقولِه تعالى:</w:t>
      </w:r>
    </w:p>
    <w:p>
      <w:pPr>
        <w:pBdr>
          <w:right w:val="single" w:sz="12" w:space="10" w:color="8A6A1F"/>
        </w:pBdr>
        <w:spacing w:before="120" w:after="160" w:line="320" w:lineRule="auto"/>
        <w:ind w:left="504" w:right="504"/>
        <w:jc w:val="both"/>
      </w:pPr>
      <w:r>
        <w:rPr>
          <w:b/>
          <w:bCs/>
          <w:color w:val="8A6A1F"/>
          <w:sz w:val="36"/>
          <w:szCs w:val="36"/>
        </w:rPr>
        <w:t xml:space="preserve">﴿وَيَذْكُرُوا اسْمَ اللَّهِ فِي أَيَّامٍ مَّعْلُومَاتٍ﴾</w:t>
      </w:r>
    </w:p>
    <w:p>
      <w:pPr>
        <w:spacing w:after="140" w:line="340" w:lineRule="auto"/>
        <w:jc w:val="both"/>
      </w:pPr>
      <w:r>
        <w:rPr>
          <w:color w:val="1A1A1A"/>
          <w:sz w:val="36"/>
          <w:szCs w:val="36"/>
        </w:rPr>
        <w:t xml:space="preserve">قال ابنُ عباسٍ ﵄ وجمهورُ السلف: **هي أيامُ العشر.**</w:t>
      </w:r>
      <w:r>
        <w:rPr>
          <w:rStyle w:val="a5"/>
          <w:sz w:val="36"/>
          <w:szCs w:val="36"/>
        </w:rPr>
        <w:footnoteReference w:id="4"/>
      </w:r>
      <w:r>
        <w:rPr>
          <w:color w:val="1A1A1A"/>
          <w:sz w:val="36"/>
          <w:szCs w:val="36"/>
        </w:rPr>
        <w:t xml:space="preserve"> وفي روايةِ ابنِ عمرَ ﵄ للحديثِ السابق:</w:t>
      </w:r>
    </w:p>
    <w:p>
      <w:pPr>
        <w:pBdr>
          <w:right w:val="single" w:sz="12" w:space="10" w:color="8A6A1F"/>
        </w:pBdr>
        <w:spacing w:before="120" w:after="160" w:line="320" w:lineRule="auto"/>
        <w:ind w:left="504" w:right="504"/>
        <w:jc w:val="both"/>
      </w:pPr>
      <w:r>
        <w:rPr>
          <w:b/>
          <w:bCs/>
          <w:color w:val="1F5C3A"/>
          <w:sz w:val="36"/>
          <w:szCs w:val="36"/>
        </w:rPr>
        <w:t xml:space="preserve">«فأَكثِروا فيهنَّ من التهليلِ والتكبيرِ والتحميد»</w:t>
      </w:r>
      <w:r>
        <w:rPr>
          <w:rStyle w:val="a5"/>
          <w:sz w:val="36"/>
          <w:szCs w:val="36"/>
        </w:rPr>
        <w:footnoteReference w:id="5"/>
      </w:r>
    </w:p>
    <w:p>
      <w:pPr>
        <w:spacing w:after="140" w:line="340" w:lineRule="auto"/>
        <w:jc w:val="both"/>
      </w:pPr>
      <w:r>
        <w:rPr>
          <w:color w:val="1A1A1A"/>
          <w:sz w:val="36"/>
          <w:szCs w:val="36"/>
        </w:rPr>
        <w:t xml:space="preserve">وقد علَّقَ البخاريُّ في </w:t>
      </w:r>
      <w:r>
        <w:rPr>
          <w:b/>
          <w:bCs/>
          <w:color w:val="1F5C3A"/>
          <w:sz w:val="36"/>
          <w:szCs w:val="36"/>
        </w:rPr>
        <w:t xml:space="preserve">«صحيحه»</w:t>
      </w:r>
      <w:r>
        <w:rPr>
          <w:color w:val="1A1A1A"/>
          <w:sz w:val="36"/>
          <w:szCs w:val="36"/>
        </w:rPr>
        <w:t xml:space="preserve"> أنّ **ابنَ عمرَ وأبا هريرةَ ﵄ كانا يخرُجان إلى السوقِ في أيامِ العشرِ يُكبِّرانِ ويُكبِّرُ الناسُ بتكبيرِهما**.</w:t>
      </w:r>
      <w:r>
        <w:rPr>
          <w:rStyle w:val="a5"/>
          <w:sz w:val="36"/>
          <w:szCs w:val="36"/>
        </w:rPr>
        <w:footnoteReference w:id="6"/>
      </w:r>
      <w:r>
        <w:rPr>
          <w:color w:val="1A1A1A"/>
          <w:sz w:val="36"/>
          <w:szCs w:val="36"/>
        </w:rPr>
        <w:t xml:space="preserve"> وقال مَيمونُ بنُ مِهرانَ ﵀: **أدركتُ الناسَ وإنهم لَيُكبِّرون في العشرِ حتى كنتُ أُشبِّهُه بالأمواجِ من كثرتِها.**</w:t>
      </w:r>
      <w:r>
        <w:rPr>
          <w:rStyle w:val="a5"/>
          <w:sz w:val="36"/>
          <w:szCs w:val="36"/>
        </w:rPr>
        <w:footnoteReference w:id="7"/>
      </w:r>
    </w:p>
    <w:p>
      <w:pPr>
        <w:spacing w:after="140" w:line="340" w:lineRule="auto"/>
        <w:jc w:val="both"/>
      </w:pPr>
      <w:r>
        <w:rPr>
          <w:color w:val="1A1A1A"/>
          <w:sz w:val="36"/>
          <w:szCs w:val="36"/>
        </w:rPr>
        <w:t xml:space="preserve">فأينَ نحن من هذه الشعيرة؟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فمن أعظمِ نِعَمِ اللهِ أنّ هذا العملَ من **أيسرِ** الأعمالِ وأعظمِها. قال ﷺ:</w:t>
      </w:r>
    </w:p>
    <w:p>
      <w:pPr>
        <w:pBdr>
          <w:right w:val="single" w:sz="12" w:space="10" w:color="8A6A1F"/>
        </w:pBdr>
        <w:spacing w:before="120" w:after="160" w:line="320" w:lineRule="auto"/>
        <w:ind w:left="504" w:right="504"/>
        <w:jc w:val="both"/>
      </w:pPr>
      <w:r>
        <w:rPr>
          <w:b/>
          <w:bCs/>
          <w:color w:val="1F5C3A"/>
          <w:sz w:val="36"/>
          <w:szCs w:val="36"/>
        </w:rPr>
        <w:t xml:space="preserve">«ألا أُنبِّئُكم بخيرِ أعمالِكم وأزكاها عند مَليكِكم، وأرفعِها في درجاتِكم، وخيرٍ لكم من إنفاقِ الذهبِ والوَرِق، وخيرٍ لكم من أن تَلقَوا عدوَّكم فتضرِبوا أعناقَهم ويضرِبوا أعناقَكم؟»</w:t>
      </w:r>
      <w:r>
        <w:rPr>
          <w:b/>
          <w:bCs/>
          <w:color w:val="1F5C3A"/>
          <w:sz w:val="36"/>
          <w:szCs w:val="36"/>
        </w:rPr>
        <w:t xml:space="preserve"> قالوا: بلى. قال: </w:t>
      </w:r>
      <w:r>
        <w:rPr>
          <w:b/>
          <w:bCs/>
          <w:color w:val="1F5C3A"/>
          <w:sz w:val="36"/>
          <w:szCs w:val="36"/>
        </w:rPr>
        <w:t xml:space="preserve">«ذِكرُ اللهِ تعالى»</w:t>
      </w:r>
      <w:r>
        <w:rPr>
          <w:rStyle w:val="a5"/>
          <w:sz w:val="36"/>
          <w:szCs w:val="36"/>
        </w:rPr>
        <w:footnoteReference w:id="8"/>
      </w:r>
    </w:p>
    <w:p>
      <w:pPr>
        <w:spacing w:after="140" w:line="340" w:lineRule="auto"/>
        <w:jc w:val="both"/>
      </w:pPr>
      <w:r>
        <w:rPr>
          <w:color w:val="1A1A1A"/>
          <w:sz w:val="36"/>
          <w:szCs w:val="36"/>
        </w:rPr>
        <w:t xml:space="preserve">**ولكنْ على هَديِ النبيِّ ﷺ وطريقةِ الصحابة**: ذِكرٌ باتِّباع، لا بتطبيلٍ ولا رقصٍ ولا مُحدَثات.</w:t>
      </w:r>
    </w:p>
    <w:p>
      <w:pPr>
        <w:spacing w:before="260" w:after="120"/>
      </w:pPr>
      <w:r>
        <w:rPr>
          <w:b/>
          <w:bCs/>
          <w:color w:val="1F5C3A"/>
          <w:sz w:val="36"/>
          <w:szCs w:val="36"/>
        </w:rPr>
        <w:t xml:space="preserve">ثانيًا: فضائلُ الذِّكر</w:t>
      </w:r>
    </w:p>
    <w:p>
      <w:pPr>
        <w:spacing w:before="200" w:after="100"/>
      </w:pPr>
      <w:r>
        <w:rPr>
          <w:b/>
          <w:bCs/>
          <w:color w:val="1A1A1A"/>
          <w:sz w:val="36"/>
          <w:szCs w:val="36"/>
        </w:rPr>
        <w:t xml:space="preserve">١) أن يذكُرَك الله</w:t>
      </w:r>
    </w:p>
    <w:p>
      <w:pPr>
        <w:spacing w:after="140" w:line="340" w:lineRule="auto"/>
        <w:jc w:val="both"/>
      </w:pPr>
      <w:r>
        <w:rPr>
          <w:b/>
          <w:bCs/>
          <w:color w:val="8A6A1F"/>
          <w:sz w:val="36"/>
          <w:szCs w:val="36"/>
        </w:rPr>
        <w:t xml:space="preserve">﴿فَاذْكُرُونِي أَذْكُرْكُمْ﴾</w:t>
      </w:r>
      <w:r>
        <w:rPr>
          <w:color w:val="1A1A1A"/>
          <w:sz w:val="36"/>
          <w:szCs w:val="36"/>
        </w:rPr>
        <w:t xml:space="preserve">. وفي الحديثِ القدسي:</w:t>
      </w:r>
    </w:p>
    <w:p>
      <w:pPr>
        <w:pBdr>
          <w:right w:val="single" w:sz="12" w:space="10" w:color="8A6A1F"/>
        </w:pBdr>
        <w:spacing w:before="120" w:after="160" w:line="320" w:lineRule="auto"/>
        <w:ind w:left="504" w:right="504"/>
        <w:jc w:val="both"/>
      </w:pPr>
      <w:r>
        <w:rPr>
          <w:b/>
          <w:bCs/>
          <w:color w:val="1F5C3A"/>
          <w:sz w:val="36"/>
          <w:szCs w:val="36"/>
        </w:rPr>
        <w:t xml:space="preserve">«مَن ذكَرَني في نفسِه ذكَرتُه في نفسي، ومن ذكَرَني في مَلَإٍ ذكَرتُه في مَلَإٍ خيرٍ منهم»</w:t>
      </w:r>
      <w:r>
        <w:rPr>
          <w:rStyle w:val="a5"/>
          <w:sz w:val="36"/>
          <w:szCs w:val="36"/>
        </w:rPr>
        <w:footnoteReference w:id="9"/>
      </w:r>
    </w:p>
    <w:p>
      <w:pPr>
        <w:spacing w:after="140" w:line="340" w:lineRule="auto"/>
        <w:jc w:val="both"/>
      </w:pPr>
      <w:r>
        <w:rPr>
          <w:color w:val="1A1A1A"/>
          <w:sz w:val="36"/>
          <w:szCs w:val="36"/>
        </w:rPr>
        <w:t xml:space="preserve">فإن أردتَ أن يرتفِعَ اسمُك في المَلَإ الأعلى فأَكثِرْ من ذِكرِه. وقال ﷺ: **</w:t>
      </w:r>
      <w:r>
        <w:rPr>
          <w:b/>
          <w:bCs/>
          <w:color w:val="1F5C3A"/>
          <w:sz w:val="36"/>
          <w:szCs w:val="36"/>
        </w:rPr>
        <w:t xml:space="preserve">«سبَقَ المُفرِّدون»</w:t>
      </w:r>
      <w:r>
        <w:rPr>
          <w:color w:val="1A1A1A"/>
          <w:sz w:val="36"/>
          <w:szCs w:val="36"/>
        </w:rPr>
        <w:t xml:space="preserve">**. قالوا: وما المُفرِّدون؟ قال: **</w:t>
      </w:r>
      <w:r>
        <w:rPr>
          <w:b/>
          <w:bCs/>
          <w:color w:val="1F5C3A"/>
          <w:sz w:val="36"/>
          <w:szCs w:val="36"/>
        </w:rPr>
        <w:t xml:space="preserve">«الذاكرون اللهَ كثيرًا والذاكرات»</w:t>
      </w:r>
      <w:r>
        <w:rPr>
          <w:color w:val="1A1A1A"/>
          <w:sz w:val="36"/>
          <w:szCs w:val="36"/>
        </w:rPr>
        <w:t xml:space="preserve">**.</w:t>
      </w:r>
      <w:r>
        <w:rPr>
          <w:rStyle w:val="a5"/>
          <w:sz w:val="36"/>
          <w:szCs w:val="36"/>
        </w:rPr>
        <w:footnoteReference w:id="10"/>
      </w:r>
    </w:p>
    <w:p>
      <w:pPr>
        <w:spacing w:before="200" w:after="100"/>
      </w:pPr>
      <w:r>
        <w:rPr>
          <w:b/>
          <w:bCs/>
          <w:color w:val="1A1A1A"/>
          <w:sz w:val="36"/>
          <w:szCs w:val="36"/>
        </w:rPr>
        <w:t xml:space="preserve">٢) أنه يُلَيِّنُ قسوةَ القلوب</w:t>
      </w:r>
    </w:p>
    <w:p>
      <w:pPr>
        <w:spacing w:after="140" w:line="340" w:lineRule="auto"/>
        <w:jc w:val="both"/>
      </w:pPr>
      <w:r>
        <w:rPr>
          <w:color w:val="1A1A1A"/>
          <w:sz w:val="36"/>
          <w:szCs w:val="36"/>
        </w:rPr>
        <w:t xml:space="preserve">فالقلوبُ تقسو حين ترتَعُ في الذنوب؛ فما العلاج؟ </w:t>
      </w:r>
      <w:r>
        <w:rPr>
          <w:b/>
          <w:bCs/>
          <w:color w:val="8A6A1F"/>
          <w:sz w:val="36"/>
          <w:szCs w:val="36"/>
        </w:rPr>
        <w:t xml:space="preserve">﴿أَلَا بِذِكْرِ اللَّهِ تَطْمَئِنُّ الْقُلُوبُ﴾</w:t>
      </w:r>
      <w:r>
        <w:rPr>
          <w:color w:val="1A1A1A"/>
          <w:sz w:val="36"/>
          <w:szCs w:val="36"/>
        </w:rPr>
        <w:t xml:space="preserve">.</w:t>
      </w:r>
    </w:p>
    <w:p>
      <w:pPr>
        <w:spacing w:after="140" w:line="340" w:lineRule="auto"/>
        <w:jc w:val="both"/>
      </w:pPr>
      <w:r>
        <w:rPr>
          <w:color w:val="1A1A1A"/>
          <w:sz w:val="36"/>
          <w:szCs w:val="36"/>
        </w:rPr>
        <w:t xml:space="preserve">وجاء رجلٌ إلى الحسنِ البصريِّ ﵀ فقال: يا أبا سعيد، إني أَشكو إليك قسوةَ قلبي. فقال: **أَذِبْه بالذِّكر.**</w:t>
      </w:r>
      <w:r>
        <w:rPr>
          <w:rStyle w:val="a5"/>
          <w:sz w:val="36"/>
          <w:szCs w:val="36"/>
        </w:rPr>
        <w:footnoteReference w:id="11"/>
      </w:r>
    </w:p>
    <w:p>
      <w:pPr>
        <w:spacing w:after="140" w:line="340" w:lineRule="auto"/>
        <w:jc w:val="both"/>
      </w:pPr>
      <w:r>
        <w:rPr>
          <w:color w:val="1A1A1A"/>
          <w:sz w:val="36"/>
          <w:szCs w:val="36"/>
        </w:rPr>
        <w:t xml:space="preserve">وقال ابنُ القيِّمِ ﵀: **صَدأُ القلبِ من أمرَين: الغفلةِ والذنب؛ وجَلاؤه من شيئَين: الاستغفارِ والذِّكر.**</w:t>
      </w:r>
      <w:r>
        <w:rPr>
          <w:rStyle w:val="a5"/>
          <w:sz w:val="36"/>
          <w:szCs w:val="36"/>
        </w:rPr>
        <w:footnoteReference w:id="12"/>
      </w:r>
    </w:p>
    <w:p>
      <w:pPr>
        <w:spacing w:before="200" w:after="100"/>
      </w:pPr>
      <w:r>
        <w:rPr>
          <w:b/>
          <w:bCs/>
          <w:color w:val="1A1A1A"/>
          <w:sz w:val="36"/>
          <w:szCs w:val="36"/>
        </w:rPr>
        <w:t xml:space="preserve">٣) أنه قوَّةٌ للبدن</w:t>
      </w:r>
    </w:p>
    <w:p>
      <w:pPr>
        <w:spacing w:after="140" w:line="340" w:lineRule="auto"/>
        <w:jc w:val="both"/>
      </w:pPr>
      <w:r>
        <w:rPr>
          <w:color w:val="1A1A1A"/>
          <w:sz w:val="36"/>
          <w:szCs w:val="36"/>
        </w:rPr>
        <w:t xml:space="preserve">جاءت فاطمةُ ﵂ تشكو إلى النبيِّ ﷺ ما تلقى من الرَّحى وتسألُه خادمًا؛ فقال ﷺ:</w:t>
      </w:r>
    </w:p>
    <w:p>
      <w:pPr>
        <w:pBdr>
          <w:right w:val="single" w:sz="12" w:space="10" w:color="8A6A1F"/>
        </w:pBdr>
        <w:spacing w:before="120" w:after="160" w:line="320" w:lineRule="auto"/>
        <w:ind w:left="504" w:right="504"/>
        <w:jc w:val="both"/>
      </w:pPr>
      <w:r>
        <w:rPr>
          <w:b/>
          <w:bCs/>
          <w:color w:val="1F5C3A"/>
          <w:sz w:val="36"/>
          <w:szCs w:val="36"/>
        </w:rPr>
        <w:t xml:space="preserve">«ألا أدُلُّكما على ما هو خيرٌ لكما من خادم؟ إذا أويتُما إلى فِراشِكما فسبِّحا ثلاثًا وثلاثين، واحمَدا ثلاثًا وثلاثين، وكبِّرا أربعًا وثلاثين؛ فهو خيرٌ لكما من خادم»</w:t>
      </w:r>
    </w:p>
    <w:p>
      <w:pPr>
        <w:spacing w:after="140" w:line="340" w:lineRule="auto"/>
        <w:jc w:val="both"/>
      </w:pPr>
      <w:r>
        <w:rPr>
          <w:color w:val="1A1A1A"/>
          <w:sz w:val="36"/>
          <w:szCs w:val="36"/>
        </w:rPr>
        <w:t xml:space="preserve">قال عليٌّ ﵁: **فما ترَكتُها منذُ سمِعتُها من رسولِ اللهِ ﷺ.** قيل له: ولا ليلةَ صِفِّين؟ قال: **ولا ليلةَ صِفِّين.**</w:t>
      </w:r>
      <w:r>
        <w:rPr>
          <w:rStyle w:val="a5"/>
          <w:sz w:val="36"/>
          <w:szCs w:val="36"/>
        </w:rPr>
        <w:footnoteReference w:id="13"/>
      </w:r>
    </w:p>
    <w:p>
      <w:pPr>
        <w:spacing w:after="140" w:line="340" w:lineRule="auto"/>
        <w:jc w:val="both"/>
      </w:pPr>
      <w:r>
        <w:rPr>
          <w:color w:val="1A1A1A"/>
          <w:sz w:val="36"/>
          <w:szCs w:val="36"/>
        </w:rPr>
        <w:t xml:space="preserve">وقد حدَّثَ ابنُ القيِّمِ ﵀ عن شيخِه ابنِ تيميةَ أنه كان بعد صلاةِ الفجرِ يجلِسُ يذكُرُ اللهَ إلى قريبٍ من انتصافِ النهار، ويقول: **هذه غَدوَتي؛ لو لم أتغَدَّ هذا الغَداءَ سقطَتْ قوَّتي.**</w:t>
      </w:r>
      <w:r>
        <w:rPr>
          <w:rStyle w:val="a5"/>
          <w:sz w:val="36"/>
          <w:szCs w:val="36"/>
        </w:rPr>
        <w:footnoteReference w:id="14"/>
      </w:r>
    </w:p>
    <w:p>
      <w:pPr>
        <w:spacing w:before="260" w:after="120"/>
      </w:pPr>
      <w:r>
        <w:rPr>
          <w:b/>
          <w:bCs/>
          <w:color w:val="1F5C3A"/>
          <w:sz w:val="36"/>
          <w:szCs w:val="36"/>
        </w:rPr>
        <w:t xml:space="preserve">خاتمة: أحكامُ التكبير</w:t>
      </w:r>
    </w:p>
    <w:p>
      <w:pPr>
        <w:spacing w:after="140" w:line="340" w:lineRule="auto"/>
        <w:jc w:val="both"/>
      </w:pPr>
      <w:r>
        <w:rPr>
          <w:color w:val="1A1A1A"/>
          <w:sz w:val="36"/>
          <w:szCs w:val="36"/>
        </w:rPr>
        <w:t xml:space="preserve">فكونوا من الموفَّقين الذين يغتنِمون العشرَ بالتكبير؛ و**التكبيرُ المُطلَق** يبدأُ من دخولِ شهرِ ذي الحجَّةِ ويستمِرُّ إلى غروبِ شمسِ آخِرِ أيامِ التشريق، ولا يتقيَّدُ بزمانٍ ولا مكان: في الأسواقِ والطرقاتِ والبيوت.</w:t>
      </w:r>
    </w:p>
    <w:p>
      <w:pPr>
        <w:spacing w:after="140" w:line="340" w:lineRule="auto"/>
        <w:jc w:val="both"/>
      </w:pPr>
      <w:r>
        <w:rPr>
          <w:color w:val="1A1A1A"/>
          <w:sz w:val="36"/>
          <w:szCs w:val="36"/>
        </w:rPr>
        <w:t xml:space="preserve">جعلَنا اللهُ وإياكم من الذاكرين اللهَ كثيرًا والذاكرات؛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حكايةٌ تُروى في كتبِ الرقائقِ والأدبِ عن بعضِ السلف، وتُذكَرُ للاعتبار.</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قولُ ابن عباسٍ ﵄ وجمهورِ المفسِّرين؛ ذكرَه الطبريُّ وابنُ كثير.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ابن عباس ﵄؛ علَّقَه البخاريُّ في «صحيحه»، ورواه الطبريُّ في «تفسيره».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من حديث ابن عمر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علَّقَه البخاريُّ في «صحيحه» بصيغةِ الجزم، ووصلَه غيرُه.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مَيمونِ بنِ مِهرانَ ﵀؛ ذكرَه ابنُ رجبٍ في «لطائف المعارف».</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أبي الدرداء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أبو نُعيمٍ في «الحلية».</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ابنُ القيِّم في «الوابل الصيِّب» و«مدارج السالكين».</w:t>
      </w:r>
    </w:p>
  </w:footnote>
  <w:footnote w:id="1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عليِّ بن أبي طالبٍ ﵁.</w:t>
      </w:r>
    </w:p>
  </w:footnote>
  <w:footnote w:id="1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ذكرَه ابنُ القيِّم في «الوابل الصيِّب» عن شيخِه ابنِ تيميةَ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