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رسالةٌ إلى كلِّ بخيل</w:t>
      </w:r>
    </w:p>
    <w:p>
      <w:pPr>
        <w:spacing w:after="120"/>
      </w:pPr>
      <w:r>
        <w:rPr>
          <w:color w:val="8A6A1F"/>
          <w:sz w:val="36"/>
          <w:szCs w:val="36"/>
        </w:rPr>
        <w:t xml:space="preserve">عواقبُ البُخلِ الوخيمةُ في الدنيا والآخرة</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خُلُقٌ ذمَّه الجاهليُّ قبل المسلم</w:t>
      </w:r>
    </w:p>
    <w:p>
      <w:pPr>
        <w:spacing w:after="140" w:line="340" w:lineRule="auto"/>
        <w:jc w:val="both"/>
      </w:pPr>
      <w:r>
        <w:rPr>
          <w:color w:val="1A1A1A"/>
          <w:sz w:val="36"/>
          <w:szCs w:val="36"/>
        </w:rPr>
        <w:t xml:space="preserve">وبعدُ، أحبَّتي في الله، معاشرَ المصلِّين: حديثي اليومَ عن خُلُقٍ ذميم، ذمَّه أهلُ الجاهليةِ قبل الإسلامِ وعَدُّوه مَنقَصةً في الرجل؛ خَلَّةٌ إذا سيطرَتْ عليك عطَّلَتْ رُكنًا من أركانِ الإسلام، ومنعَتْ حقوقَ الأنام.</w:t>
      </w:r>
    </w:p>
    <w:p>
      <w:pPr>
        <w:spacing w:after="140" w:line="340" w:lineRule="auto"/>
        <w:jc w:val="both"/>
      </w:pPr>
      <w:r>
        <w:rPr>
          <w:color w:val="1A1A1A"/>
          <w:sz w:val="36"/>
          <w:szCs w:val="36"/>
        </w:rPr>
        <w:t xml:space="preserve">إنه **البُخل**. وفي أيامِ الصدقاتِ والنفقاتِ يتأكَّدُ الحديثُ عنه؛ فإنّ العبدَ الذي عطَّلَ الزكاةَ لبُخلِه، ومنَعَ المسكينَ لبُخلِه، بل بخِلَ حتى على نفسِه ـ لا يدري ما عاقبةُ البُخل.</w:t>
      </w:r>
    </w:p>
    <w:p>
      <w:pPr>
        <w:spacing w:after="140" w:line="340" w:lineRule="auto"/>
        <w:jc w:val="both"/>
      </w:pPr>
      <w:r>
        <w:rPr>
          <w:color w:val="1A1A1A"/>
          <w:sz w:val="36"/>
          <w:szCs w:val="36"/>
        </w:rPr>
        <w:t xml:space="preserve">فتعالَ معي نقِفْ على شيءٍ من عواقبِه.</w:t>
      </w:r>
    </w:p>
    <w:p>
      <w:pPr>
        <w:spacing w:before="260" w:after="120"/>
      </w:pPr>
      <w:r>
        <w:rPr>
          <w:b/>
          <w:bCs/>
          <w:color w:val="1F5C3A"/>
          <w:sz w:val="36"/>
          <w:szCs w:val="36"/>
        </w:rPr>
        <w:t xml:space="preserve">أولًا: عذابٌ مخصوصٌ يومَ القيامة</w:t>
      </w:r>
    </w:p>
    <w:p>
      <w:pPr>
        <w:spacing w:after="140" w:line="340" w:lineRule="auto"/>
        <w:jc w:val="both"/>
      </w:pPr>
      <w:r>
        <w:rPr>
          <w:color w:val="1A1A1A"/>
          <w:sz w:val="36"/>
          <w:szCs w:val="36"/>
        </w:rPr>
        <w:t xml:space="preserve">فالنفسُ جُبِلَتْ على حُبِّ المال: </w:t>
      </w:r>
      <w:r>
        <w:rPr>
          <w:b/>
          <w:bCs/>
          <w:color w:val="8A6A1F"/>
          <w:sz w:val="36"/>
          <w:szCs w:val="36"/>
        </w:rPr>
        <w:t xml:space="preserve">﴿وَتُحِبُّونَ الْمَالَ حُبًّا جَمًّا﴾</w:t>
      </w:r>
      <w:r>
        <w:rPr>
          <w:color w:val="1A1A1A"/>
          <w:sz w:val="36"/>
          <w:szCs w:val="36"/>
        </w:rPr>
        <w:t xml:space="preserve">. فالحذَرَ أن تبخَلَ به؛ فإنّ لك عذابًا مخصوصًا:</w:t>
      </w:r>
    </w:p>
    <w:p>
      <w:pPr>
        <w:pBdr>
          <w:right w:val="single" w:sz="12" w:space="10" w:color="8A6A1F"/>
        </w:pBdr>
        <w:spacing w:before="120" w:after="160" w:line="320" w:lineRule="auto"/>
        <w:ind w:left="504" w:right="504"/>
        <w:jc w:val="both"/>
      </w:pPr>
      <w:r>
        <w:rPr>
          <w:b/>
          <w:bCs/>
          <w:color w:val="8A6A1F"/>
          <w:sz w:val="36"/>
          <w:szCs w:val="36"/>
        </w:rPr>
        <w:t xml:space="preserve">﴿وَلَا يَحْسَبَنَّ الَّذِينَ يَبْخَلُونَ بِمَا آتَاهُمُ اللَّهُ مِن فَضْلِهِ هُوَ خَيْرًا لَّهُم ۖ بَلْ هُوَ شَرٌّ لَّهُمْ ۖ سَيُطَوَّقُونَ مَا بَخِلُوا بِهِ يَوْمَ الْقِيَامَةِ﴾</w:t>
      </w:r>
    </w:p>
    <w:p>
      <w:pPr>
        <w:spacing w:after="140" w:line="340" w:lineRule="auto"/>
        <w:jc w:val="both"/>
      </w:pPr>
      <w:r>
        <w:rPr>
          <w:color w:val="1A1A1A"/>
          <w:sz w:val="36"/>
          <w:szCs w:val="36"/>
        </w:rPr>
        <w:t xml:space="preserve">وترجَمَ النبيُّ ﷺ هذه الآيةَ فقال:</w:t>
      </w:r>
    </w:p>
    <w:p>
      <w:pPr>
        <w:pBdr>
          <w:right w:val="single" w:sz="12" w:space="10" w:color="8A6A1F"/>
        </w:pBdr>
        <w:spacing w:before="120" w:after="160" w:line="320" w:lineRule="auto"/>
        <w:ind w:left="504" w:right="504"/>
        <w:jc w:val="both"/>
      </w:pPr>
      <w:r>
        <w:rPr>
          <w:b/>
          <w:bCs/>
          <w:color w:val="1F5C3A"/>
          <w:sz w:val="36"/>
          <w:szCs w:val="36"/>
        </w:rPr>
        <w:t xml:space="preserve">«مَن آتاه اللهُ مالًا فلم يُؤَدِّ زكاتَه، مُثِّلَ له مالُه يومَ القيامةِ شُجاعًا أقرَعَ له زَبيبَتان، يُطوَّقُه يومَ القيامة، ثم يأخُذُ بلِهْزِمَتَيه ـ يعني شِدقَيه ـ ثم يقول: أنا مالُك، أنا كنزُك»</w:t>
      </w:r>
      <w:r>
        <w:rPr>
          <w:rStyle w:val="a5"/>
          <w:sz w:val="36"/>
          <w:szCs w:val="36"/>
        </w:rPr>
        <w:footnoteReference w:id="1"/>
      </w:r>
    </w:p>
    <w:p>
      <w:pPr>
        <w:spacing w:after="140" w:line="340" w:lineRule="auto"/>
        <w:jc w:val="both"/>
      </w:pPr>
      <w:r>
        <w:rPr>
          <w:color w:val="1A1A1A"/>
          <w:sz w:val="36"/>
          <w:szCs w:val="36"/>
        </w:rPr>
        <w:t xml:space="preserve">فلو وعَتْ قلوبُنا الآيةَ والحديثَ ما بخِلْنا بعد اليوم!</w:t>
      </w:r>
    </w:p>
    <w:p>
      <w:pPr>
        <w:spacing w:before="260" w:after="120"/>
      </w:pPr>
      <w:r>
        <w:rPr>
          <w:b/>
          <w:bCs/>
          <w:color w:val="1F5C3A"/>
          <w:sz w:val="36"/>
          <w:szCs w:val="36"/>
        </w:rPr>
        <w:t xml:space="preserve">ثانيًا: نقصُ الإيمان</w:t>
      </w:r>
    </w:p>
    <w:p>
      <w:pPr>
        <w:spacing w:after="140" w:line="340" w:lineRule="auto"/>
        <w:jc w:val="both"/>
      </w:pPr>
      <w:r>
        <w:rPr>
          <w:color w:val="1A1A1A"/>
          <w:sz w:val="36"/>
          <w:szCs w:val="36"/>
        </w:rPr>
        <w:t xml:space="preserve">متى آخِرُ مرَّةٍ تصدَّقتَ فيها صدقةَ سِرّ؟ سَلْ نفسَك والجوابُ عندك. واسمَعْ:</w:t>
      </w:r>
    </w:p>
    <w:p>
      <w:pPr>
        <w:pBdr>
          <w:right w:val="single" w:sz="12" w:space="10" w:color="8A6A1F"/>
        </w:pBdr>
        <w:spacing w:before="120" w:after="160" w:line="320" w:lineRule="auto"/>
        <w:ind w:left="504" w:right="504"/>
        <w:jc w:val="both"/>
      </w:pPr>
      <w:r>
        <w:rPr>
          <w:b/>
          <w:bCs/>
          <w:color w:val="1F5C3A"/>
          <w:sz w:val="36"/>
          <w:szCs w:val="36"/>
        </w:rPr>
        <w:t xml:space="preserve">«لا يجتمِعُ الشُّحُّ والإيمانُ في قلبِ عبدٍ أبدًا»</w:t>
      </w:r>
      <w:r>
        <w:rPr>
          <w:rStyle w:val="a5"/>
          <w:sz w:val="36"/>
          <w:szCs w:val="36"/>
        </w:rPr>
        <w:footnoteReference w:id="2"/>
      </w:r>
    </w:p>
    <w:p>
      <w:pPr>
        <w:spacing w:after="140" w:line="340" w:lineRule="auto"/>
        <w:jc w:val="both"/>
      </w:pPr>
      <w:r>
        <w:rPr>
          <w:color w:val="1A1A1A"/>
          <w:sz w:val="36"/>
          <w:szCs w:val="36"/>
        </w:rPr>
        <w:t xml:space="preserve">وفي حديثٍ آخر:</w:t>
      </w:r>
    </w:p>
    <w:p>
      <w:pPr>
        <w:pBdr>
          <w:right w:val="single" w:sz="12" w:space="10" w:color="8A6A1F"/>
        </w:pBdr>
        <w:spacing w:before="120" w:after="160" w:line="320" w:lineRule="auto"/>
        <w:ind w:left="504" w:right="504"/>
        <w:jc w:val="both"/>
      </w:pPr>
      <w:r>
        <w:rPr>
          <w:b/>
          <w:bCs/>
          <w:color w:val="1F5C3A"/>
          <w:sz w:val="36"/>
          <w:szCs w:val="36"/>
        </w:rPr>
        <w:t xml:space="preserve">«خَصلَتانِ لا تجتمِعانِ في مؤمن: البُخلُ وسوءُ الخُلُق»</w:t>
      </w:r>
      <w:r>
        <w:rPr>
          <w:rStyle w:val="a5"/>
          <w:sz w:val="36"/>
          <w:szCs w:val="36"/>
        </w:rPr>
        <w:footnoteReference w:id="3"/>
      </w:r>
    </w:p>
    <w:p>
      <w:pPr>
        <w:spacing w:after="140" w:line="340" w:lineRule="auto"/>
        <w:jc w:val="both"/>
      </w:pPr>
      <w:r>
        <w:rPr>
          <w:color w:val="1A1A1A"/>
          <w:sz w:val="36"/>
          <w:szCs w:val="36"/>
        </w:rPr>
        <w:t xml:space="preserve">فالمؤمنُ ليس بخيلًا. فهذا الذي يرى مشاريعَ الخيرِ تتوقَّف، ويرى المحاويجَ أمامَه، ثم يقول: هؤلاء نصّابون وفلانٌ كاذب! فأين جودُك وبَذلُك؟</w:t>
      </w:r>
    </w:p>
    <w:p>
      <w:pPr>
        <w:spacing w:before="260" w:after="120"/>
      </w:pPr>
      <w:r>
        <w:rPr>
          <w:b/>
          <w:bCs/>
          <w:color w:val="1F5C3A"/>
          <w:sz w:val="36"/>
          <w:szCs w:val="36"/>
        </w:rPr>
        <w:t xml:space="preserve">ثالثًا: الحِرمانُ من التوفيق</w:t>
      </w:r>
    </w:p>
    <w:p>
      <w:pPr>
        <w:spacing w:after="140" w:line="340" w:lineRule="auto"/>
        <w:jc w:val="both"/>
      </w:pPr>
      <w:r>
        <w:rPr>
          <w:color w:val="1A1A1A"/>
          <w:sz w:val="36"/>
          <w:szCs w:val="36"/>
        </w:rPr>
        <w:t xml:space="preserve">هل رأيتُم بخيلًا وُفِّقَ للخير؟ إنّ البخيلَ الذي عنده الآلافُ لم يحُجَّ ولم يعتمِرْ ولم يكفُلْ يتيمًا، بل لو سألتَه عن نِصابِ الزكاةِ ما دَرى! ولِمَ؟ لأنه بخيل. قال ربُّكم:</w:t>
      </w:r>
    </w:p>
    <w:p>
      <w:pPr>
        <w:pBdr>
          <w:right w:val="single" w:sz="12" w:space="10" w:color="8A6A1F"/>
        </w:pBdr>
        <w:spacing w:before="120" w:after="160" w:line="320" w:lineRule="auto"/>
        <w:ind w:left="504" w:right="504"/>
        <w:jc w:val="both"/>
      </w:pPr>
      <w:r>
        <w:rPr>
          <w:b/>
          <w:bCs/>
          <w:color w:val="8A6A1F"/>
          <w:sz w:val="36"/>
          <w:szCs w:val="36"/>
        </w:rPr>
        <w:t xml:space="preserve">﴿وَأَمَّا مَن بَخِلَ وَاسْتَغْنَىٰ ۝ وَكَذَّبَ بِالْحُسْنَىٰ ۝ فَسَنُيَسِّرُهُ لِلْعُسْرَىٰ﴾</w:t>
      </w:r>
    </w:p>
    <w:p>
      <w:pPr>
        <w:spacing w:after="140" w:line="340" w:lineRule="auto"/>
        <w:jc w:val="both"/>
      </w:pPr>
      <w:r>
        <w:rPr>
          <w:color w:val="1A1A1A"/>
          <w:sz w:val="36"/>
          <w:szCs w:val="36"/>
        </w:rPr>
        <w:t xml:space="preserve">وفي مقابلِه: </w:t>
      </w:r>
      <w:r>
        <w:rPr>
          <w:b/>
          <w:bCs/>
          <w:color w:val="8A6A1F"/>
          <w:sz w:val="36"/>
          <w:szCs w:val="36"/>
        </w:rPr>
        <w:t xml:space="preserve">﴿وَمَن يُوقَ شُحَّ نَفْسِهِ فَأُولَٰئِكَ هُمُ الْمُفْلِحُونَ﴾</w:t>
      </w:r>
      <w:r>
        <w:rPr>
          <w:color w:val="1A1A1A"/>
          <w:sz w:val="36"/>
          <w:szCs w:val="36"/>
        </w:rPr>
        <w:t xml:space="preserve">. فالمُفلِحُ ـ القائمُ الصائمُ المُنفِق ـ ليس بخيلًا. وقد رُويَ عن جماعةٍ من أهلِ العلمِ أنهم قالوا: **ما رأينا رجلًا صالحًا بخيلًا**؛ إذ لا يكادُ يجتمِعُ الصلاحُ والبُخل.</w:t>
      </w:r>
      <w:r>
        <w:rPr>
          <w:rStyle w:val="a5"/>
          <w:sz w:val="36"/>
          <w:szCs w:val="36"/>
        </w:rPr>
        <w:footnoteReference w:id="4"/>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حقَّ حمدِه، والصلاةُ والسلامُ على نبيِّه وعبدِه، وعلى آلِه وصحبِه ومن سار على دربِه إلى يومِ يُبعَثون. أمّا بعدُ، أحبَّتي في الله:</w:t>
      </w:r>
    </w:p>
    <w:p>
      <w:pPr>
        <w:spacing w:before="260" w:after="120"/>
      </w:pPr>
      <w:r>
        <w:rPr>
          <w:b/>
          <w:bCs/>
          <w:color w:val="1F5C3A"/>
          <w:sz w:val="36"/>
          <w:szCs w:val="36"/>
        </w:rPr>
        <w:t xml:space="preserve">رابعًا: أنّ الشُّحَّ مَهلَكة</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«اتَّقوا الشُّحَّ؛ فإنّ الشُّحَّ أهلكَ من كان قبلَكم: حمَلَهم على أن سفَكوا دماءَهم واستحَلُّوا محارمَهم»</w:t>
      </w:r>
      <w:r>
        <w:rPr>
          <w:rStyle w:val="a5"/>
          <w:sz w:val="36"/>
          <w:szCs w:val="36"/>
        </w:rPr>
        <w:footnoteReference w:id="5"/>
      </w:r>
    </w:p>
    <w:p>
      <w:pPr>
        <w:spacing w:after="140" w:line="340" w:lineRule="auto"/>
        <w:jc w:val="both"/>
      </w:pPr>
      <w:r>
        <w:rPr>
          <w:color w:val="1A1A1A"/>
          <w:sz w:val="36"/>
          <w:szCs w:val="36"/>
        </w:rPr>
        <w:t xml:space="preserve">**وتنبيه:** الشُّحُّ أشدُّ من البُخل؛ فهو بُخلٌ مع حِرص. وقد لا يكونُ الشحيحُ غنيًّا؛ فالبخيلُ قد يكونُ فقيرًا لا يملِكُ شيئًا ومع ذلك لا يعرِفُ للبَذلِ طريقًا. فليس كلامي للأغنياءِ وحدَهم.</w:t>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«ثلاثٌ مُهلِكات: شُحٌّ مُطاع، وهوًى مُتَّبَع، وإعجابُ المرءِ بنفسِه»</w:t>
      </w:r>
      <w:r>
        <w:rPr>
          <w:rStyle w:val="a5"/>
          <w:sz w:val="36"/>
          <w:szCs w:val="36"/>
        </w:rPr>
        <w:footnoteReference w:id="6"/>
      </w:r>
    </w:p>
    <w:p>
      <w:pPr>
        <w:spacing w:after="140" w:line="340" w:lineRule="auto"/>
        <w:jc w:val="both"/>
      </w:pPr>
      <w:r>
        <w:rPr>
          <w:color w:val="1A1A1A"/>
          <w:sz w:val="36"/>
          <w:szCs w:val="36"/>
        </w:rPr>
        <w:t xml:space="preserve">ولاحِظْ: **</w:t>
      </w:r>
      <w:r>
        <w:rPr>
          <w:b/>
          <w:bCs/>
          <w:color w:val="1F5C3A"/>
          <w:sz w:val="36"/>
          <w:szCs w:val="36"/>
        </w:rPr>
        <w:t xml:space="preserve">«شُحٌّ مُطاع»</w:t>
      </w:r>
      <w:r>
        <w:rPr>
          <w:color w:val="1A1A1A"/>
          <w:sz w:val="36"/>
          <w:szCs w:val="36"/>
        </w:rPr>
        <w:t xml:space="preserve">**؛ فإذا جئتَ لتتصدَّقَ فجاءك الشيطانُ يقول: فلانٌ غيرُ محتاج ـ فاعصِه وتصدَّقْ. فإن أطعتَ الشُّحَّ فأنت على خطر.</w:t>
      </w:r>
    </w:p>
    <w:p>
      <w:pPr>
        <w:spacing w:before="260" w:after="120"/>
      </w:pPr>
      <w:r>
        <w:rPr>
          <w:b/>
          <w:bCs/>
          <w:color w:val="1F5C3A"/>
          <w:sz w:val="36"/>
          <w:szCs w:val="36"/>
        </w:rPr>
        <w:t xml:space="preserve">خامسًا: مَحقُ البركة</w:t>
      </w:r>
    </w:p>
    <w:p>
      <w:pPr>
        <w:spacing w:after="140" w:line="340" w:lineRule="auto"/>
        <w:jc w:val="both"/>
      </w:pPr>
      <w:r>
        <w:rPr>
          <w:color w:val="1A1A1A"/>
          <w:sz w:val="36"/>
          <w:szCs w:val="36"/>
        </w:rPr>
        <w:t xml:space="preserve">فكثيرٌ ممَّن يبخَلُ إنما يبخَلُ حِرصًا على المال؛ ولو عَلِمَ أنه إنما يبخَلُ عن نفسِه، وأنّ اللهَ لا يُبارِكُ له فيه! قال ﷺ:</w:t>
      </w:r>
    </w:p>
    <w:p>
      <w:pPr>
        <w:pBdr>
          <w:right w:val="single" w:sz="12" w:space="10" w:color="8A6A1F"/>
        </w:pBdr>
        <w:spacing w:before="120" w:after="160" w:line="320" w:lineRule="auto"/>
        <w:ind w:left="504" w:right="504"/>
        <w:jc w:val="both"/>
      </w:pPr>
      <w:r>
        <w:rPr>
          <w:b/>
          <w:bCs/>
          <w:color w:val="1F5C3A"/>
          <w:sz w:val="36"/>
          <w:szCs w:val="36"/>
        </w:rPr>
        <w:t xml:space="preserve">«إنّ هذا المالَ خَضِرٌ حُلو؛ فمن أخذَه بسَخاوةِ نفسٍ بُورِكَ له فيه، ومن أخذَه بإشرافِ نفسٍ لم يُبارَكْ له فيه، وكان كالذي يأكُلُ ولا يشبَع؛ واليدُ العُليا خيرٌ من اليدِ السُّفلى»</w:t>
      </w:r>
      <w:r>
        <w:rPr>
          <w:rStyle w:val="a5"/>
          <w:sz w:val="36"/>
          <w:szCs w:val="36"/>
        </w:rPr>
        <w:footnoteReference w:id="7"/>
      </w:r>
    </w:p>
    <w:p>
      <w:pPr>
        <w:spacing w:after="140" w:line="340" w:lineRule="auto"/>
        <w:jc w:val="both"/>
      </w:pPr>
      <w:r>
        <w:rPr>
          <w:color w:val="1A1A1A"/>
          <w:sz w:val="36"/>
          <w:szCs w:val="36"/>
        </w:rPr>
        <w:t xml:space="preserve">فهذا المالُ الذي بخِلتَ به على نفسِك ستترُكُه وراءك. وكم سمِعنا بأثرياءَ ماتوا فلم يجِدوا من يتصدَّقُ عنهم! فيا أيها المُوسِر: **لا تنتظِرْ أحدًا يتصدَّقُ عنك**؛ فقد قال ﷺ:</w:t>
      </w:r>
    </w:p>
    <w:p>
      <w:pPr>
        <w:pBdr>
          <w:right w:val="single" w:sz="12" w:space="10" w:color="8A6A1F"/>
        </w:pBdr>
        <w:spacing w:before="120" w:after="160" w:line="320" w:lineRule="auto"/>
        <w:ind w:left="504" w:right="504"/>
        <w:jc w:val="both"/>
      </w:pPr>
      <w:r>
        <w:rPr>
          <w:b/>
          <w:bCs/>
          <w:color w:val="1F5C3A"/>
          <w:sz w:val="36"/>
          <w:szCs w:val="36"/>
        </w:rPr>
        <w:t xml:space="preserve">«إذا ماتَ الإنسانُ انقطعَ عنه عملُه إلا من ثلاث: صدقةٍ جارية، أو عِلمٍ يُنتفَعُ به، أو ولدٍ صالحٍ يدعو له»</w:t>
      </w:r>
      <w:r>
        <w:rPr>
          <w:rStyle w:val="a5"/>
          <w:sz w:val="36"/>
          <w:szCs w:val="36"/>
        </w:rPr>
        <w:footnoteReference w:id="8"/>
      </w:r>
    </w:p>
    <w:p>
      <w:pPr>
        <w:spacing w:after="140" w:line="340" w:lineRule="auto"/>
        <w:jc w:val="both"/>
      </w:pPr>
      <w:r>
        <w:rPr>
          <w:color w:val="1A1A1A"/>
          <w:sz w:val="36"/>
          <w:szCs w:val="36"/>
        </w:rPr>
        <w:t xml:space="preserve">فالولدُ اللهُ أعلمُ بصلاحِه؛ فقدِّمْ لنفسِك بيدِك.</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فأسألُ اللهَ جلَّ في عُلاه أن يجعلَني وإياكم من الذين يُنفِقون أموالَهم سِرًّا وعلانية، ومن الذين وُقُوا شُحَّ أنفسِهم فكانوا من المُفلِحين؛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أبي هريرة ﵁. و«الشُّجاعُ الأقرَع»: الحيَّةُ الذكَرُ التي تمعَّطَ شعرُ رأسِها لكثرةِ سُمِّها، و«الزَّبيبَتان»: نُقطتانِ سوداوانِ فوق عينَيها.</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النسائيُّ من حديث أبي هريرة ﵁، وصححه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أبي سعيدٍ الخُدريِّ ﵁، وحسَّنه الألباني.</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أقوالِ أهلِ العلمِ في ذمِّ البُخل؛ ذكرَه ابنُ أبي الدنيا في «إصلاح المال» وابنُ الجوزيِّ في «صفة الصفوة».</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جابر بن عبد الله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البزّارُ والطبرانيُّ من حديث أنسٍ وابنِ عمرَ ﵄، وحسَّنه الألباني بمجموعِ طرقِه.</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حكيمِ بن حِزامٍ ﵁.</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