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﴿وَاعْتَصِمُوا بِحَبْلِ اللَّهِ جَمِيعًا وَلَا تَفَرَّقُوا﴾</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أسبابُ التفرُّقِ والاختلافِ وآثارُهما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على لهيبِ رمالِ الصحراء تقدَّم فرسٌ خطوةً فاطمأنّت النفوس، ثم تقدّمت فرسٌ أخرى خطوةً فاشرأبّت الأعناقُ وامتدّت الأيدي إلى مقابض السيوف. </w:t>
      </w:r>
      <w:r>
        <w:rPr>
          <w:rFonts w:ascii="Traditional Arabic" w:cs="Traditional Arabic" w:eastAsia="Traditional Arabic" w:hAnsi="Traditional Arabic"/>
          <w:b/>
          <w:bCs/>
          <w:i w:val="false"/>
          <w:iCs w:val="false"/>
          <w:sz w:val="28"/>
          <w:szCs w:val="28"/>
          <w:rtl/>
        </w:rPr>
        <w:t xml:space="preserve">داحسٌ والغبراء… والبَسوس</w:t>
      </w:r>
      <w:r>
        <w:rPr>
          <w:rFonts w:ascii="Traditional Arabic" w:cs="Traditional Arabic" w:eastAsia="Traditional Arabic" w:hAnsi="Traditional Arabic"/>
          <w:b w:val="false"/>
          <w:bCs w:val="false"/>
          <w:i w:val="false"/>
          <w:iCs w:val="false"/>
          <w:sz w:val="28"/>
          <w:szCs w:val="28"/>
          <w:rtl/>
        </w:rPr>
        <w:t xml:space="preserve">! وسالت أنهارُ الدماء أربعين عامًا، </w:t>
      </w:r>
      <w:r>
        <w:rPr>
          <w:rFonts w:ascii="Traditional Arabic" w:cs="Traditional Arabic" w:eastAsia="Traditional Arabic" w:hAnsi="Traditional Arabic"/>
          <w:b/>
          <w:bCs/>
          <w:i w:val="false"/>
          <w:iCs w:val="false"/>
          <w:sz w:val="28"/>
          <w:szCs w:val="28"/>
          <w:rtl/>
        </w:rPr>
        <w:t xml:space="preserve">ظلامٌ وجاهليّةٌ وتفرُّقٌ وانحطاط</w:t>
      </w:r>
      <w:r>
        <w:rPr>
          <w:rFonts w:ascii="Traditional Arabic" w:cs="Traditional Arabic" w:eastAsia="Traditional Arabic" w:hAnsi="Traditional Arabic"/>
          <w:b w:val="false"/>
          <w:bCs w:val="false"/>
          <w:i w:val="false"/>
          <w:iCs w:val="false"/>
          <w:sz w:val="28"/>
          <w:szCs w:val="28"/>
          <w:rtl/>
        </w:rPr>
        <w:t xml:space="preserve">. حتى انبلج ذلك النورُ في بطحاء مكّة، فتلقّفته يثرب، فاتّجهت نحوه القلوب، فتألّفت الأرواحُ واجتمعت الأبدان، ورددت مع قول العلّام: ﴿وَاعْتَصِمُوا بِحَبْلِ اللَّهِ جَمِيعًا وَلَا تَفَرَّقُوا﴾.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فما لي أرى اليومَ داحسًا والغبراءَ والبسوس؟ وما لي أرى الشحناءَ والتفرُّقَ تسلّلت حتى إلى طلبة العلم؟ </w:t>
      </w:r>
      <w:r>
        <w:rPr>
          <w:rFonts w:ascii="Traditional Arabic" w:cs="Traditional Arabic" w:eastAsia="Traditional Arabic" w:hAnsi="Traditional Arabic"/>
          <w:b/>
          <w:bCs/>
          <w:i w:val="false"/>
          <w:iCs w:val="false"/>
          <w:sz w:val="28"/>
          <w:szCs w:val="28"/>
          <w:rtl/>
        </w:rPr>
        <w:t xml:space="preserve">فحديثي إليكم عن أسباب التفرُّق وآثاره</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أولًا: أسبابُ التفرُّق</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الشركُ بالله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هذه الأمّةَ إذا تمسّكت بالتوحيد الخالص المطهَّر من أدرانِ الوثنيّة فهي أمّةٌ مجتمعة. </w:t>
      </w:r>
      <w:r>
        <w:rPr>
          <w:rFonts w:ascii="Traditional Arabic" w:cs="Traditional Arabic" w:eastAsia="Traditional Arabic" w:hAnsi="Traditional Arabic"/>
          <w:b/>
          <w:bCs/>
          <w:i w:val="false"/>
          <w:iCs w:val="false"/>
          <w:sz w:val="28"/>
          <w:szCs w:val="28"/>
          <w:rtl/>
        </w:rPr>
        <w:t xml:space="preserve">أمّا إذا تسلّل الشركُ إليها — في صورة حلفٍ بغير الله، أو تعليقِ تمائم، أو دعاءٍ وتوسُّلٍ بالأموات — فأنّى لها أن تجتمع؟</w:t>
      </w:r>
      <w:r>
        <w:rPr>
          <w:rFonts w:ascii="Traditional Arabic" w:cs="Traditional Arabic" w:eastAsia="Traditional Arabic" w:hAnsi="Traditional Arabic"/>
          <w:b w:val="false"/>
          <w:bCs w:val="false"/>
          <w:i w:val="false"/>
          <w:iCs w:val="false"/>
          <w:sz w:val="28"/>
          <w:szCs w:val="28"/>
          <w:rtl/>
        </w:rPr>
        <w:t xml:space="preserve"> واللهُ يقول: </w:t>
      </w:r>
      <w:r>
        <w:rPr>
          <w:rFonts w:ascii="Traditional Arabic" w:cs="Traditional Arabic" w:eastAsia="Traditional Arabic" w:hAnsi="Traditional Arabic"/>
          <w:b/>
          <w:bCs/>
          <w:i w:val="false"/>
          <w:iCs w:val="false"/>
          <w:sz w:val="28"/>
          <w:szCs w:val="28"/>
          <w:rtl/>
        </w:rPr>
        <w:t xml:space="preserve">﴿وَلَا تَكُونُوا مِنَ الْمُشْرِكِينَ • مِنَ الَّذِينَ فَرَّقُوا دِينَهُمْ وَكَانُوا شِيَعًا﴾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فلا اجتماعَ إلا على التوحيد، ولا اعتصامَ إلا به، ولا تمكينَ إلا بإقامته</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الإعراضُ عن الكتاب والسنّة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فحبلُ الله هو الوحي: الكتابُ والسنّة. فإذا أعرضنا عنهما — حُكمًا وتحكيمًا، عملًا وتطبيقًا، عقيدةً وأخلاقًا ومعاملات — </w:t>
      </w:r>
      <w:r>
        <w:rPr>
          <w:rFonts w:ascii="Traditional Arabic" w:cs="Traditional Arabic" w:eastAsia="Traditional Arabic" w:hAnsi="Traditional Arabic"/>
          <w:b/>
          <w:bCs/>
          <w:i w:val="false"/>
          <w:iCs w:val="false"/>
          <w:sz w:val="28"/>
          <w:szCs w:val="28"/>
          <w:rtl/>
        </w:rPr>
        <w:t xml:space="preserve">فأنّى لنا أن نكون أمّةً مجتمعة؟</w:t>
      </w:r>
      <w:r>
        <w:rPr>
          <w:rFonts w:ascii="Traditional Arabic" w:cs="Traditional Arabic" w:eastAsia="Traditional Arabic" w:hAnsi="Traditional Arabic"/>
          <w:b w:val="false"/>
          <w:bCs w:val="false"/>
          <w:i w:val="false"/>
          <w:iCs w:val="false"/>
          <w:sz w:val="28"/>
          <w:szCs w:val="28"/>
          <w:rtl/>
        </w:rPr>
        <w:t xml:space="preserve"> فأين الكتابُ والسنّةُ في محاكمنا وبيوتنا وبيعنا وشرائنا وأخلاقنا؟ </w:t>
      </w:r>
      <w:r>
        <w:rPr>
          <w:rFonts w:ascii="Traditional Arabic" w:cs="Traditional Arabic" w:eastAsia="Traditional Arabic" w:hAnsi="Traditional Arabic"/>
          <w:b/>
          <w:bCs/>
          <w:i w:val="false"/>
          <w:iCs w:val="false"/>
          <w:sz w:val="28"/>
          <w:szCs w:val="28"/>
          <w:rtl/>
        </w:rPr>
        <w:t xml:space="preserve">وإنّ أيَّ دعوةٍ إلى الوحدة لا تصدرُ عن نبع الكتاب والسنّة فهي دعوةٌ جاهليّةٌ أيًّا كان مسمّاها</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٣) التعلُّقُ بالدنيا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سمّاها اللهُ دنيا فجعلناها عُليا! </w:t>
      </w:r>
      <w:r>
        <w:rPr>
          <w:rFonts w:ascii="Traditional Arabic" w:cs="Traditional Arabic" w:eastAsia="Traditional Arabic" w:hAnsi="Traditional Arabic"/>
          <w:b/>
          <w:bCs/>
          <w:i w:val="false"/>
          <w:iCs w:val="false"/>
          <w:sz w:val="28"/>
          <w:szCs w:val="28"/>
          <w:rtl/>
        </w:rPr>
        <w:t xml:space="preserve">دراهمُ فرّقت بين الأخِ وأخيه، ومزّقت شملَ الأمّة</w:t>
      </w:r>
      <w:r>
        <w:rPr>
          <w:rFonts w:ascii="Traditional Arabic" w:cs="Traditional Arabic" w:eastAsia="Traditional Arabic" w:hAnsi="Traditional Arabic"/>
          <w:b w:val="false"/>
          <w:bCs w:val="false"/>
          <w:i w:val="false"/>
          <w:iCs w:val="false"/>
          <w:sz w:val="28"/>
          <w:szCs w:val="28"/>
          <w:rtl/>
        </w:rPr>
        <w:t xml:space="preserve">. وقد أطلَّ النبيُّ ﷺ على أصحابه لمّا جاءته أموالٌ من البحرين فقال: </w:t>
      </w:r>
      <w:r>
        <w:rPr>
          <w:rFonts w:ascii="Traditional Arabic" w:cs="Traditional Arabic" w:eastAsia="Traditional Arabic" w:hAnsi="Traditional Arabic"/>
          <w:b/>
          <w:bCs/>
          <w:i w:val="false"/>
          <w:iCs w:val="false"/>
          <w:sz w:val="28"/>
          <w:szCs w:val="28"/>
          <w:rtl/>
        </w:rPr>
        <w:t xml:space="preserve">«فواللهِ ما الفقرَ أخشى عليكم، ولكن أخشى أن تُبسَط عليكم الدنيا كما بُسِطت على من كان قبلكم، فتنافسوها كما تنافسوها، وتُهلككم كما أهلكتهم»</w:t>
      </w:r>
      <w:r>
        <w:rPr>
          <w:rFonts w:ascii="Traditional Arabic" w:cs="Traditional Arabic" w:eastAsia="Traditional Arabic" w:hAnsi="Traditional Arabic"/>
          <w:b w:val="false"/>
          <w:bCs w:val="false"/>
          <w:i w:val="false"/>
          <w:iCs w:val="false"/>
          <w:sz w:val="28"/>
          <w:szCs w:val="28"/>
          <w:rtl/>
        </w:rPr>
        <w:t xml:space="preserve">. متفقٌ عليه. </w:t>
      </w:r>
      <w:r>
        <w:rPr>
          <w:rFonts w:ascii="Traditional Arabic" w:cs="Traditional Arabic" w:eastAsia="Traditional Arabic" w:hAnsi="Traditional Arabic"/>
          <w:b/>
          <w:bCs/>
          <w:i w:val="false"/>
          <w:iCs w:val="false"/>
          <w:sz w:val="28"/>
          <w:szCs w:val="28"/>
          <w:rtl/>
        </w:rPr>
        <w:t xml:space="preserve">فأيُّ افتراقٍ سببُه الدنيا فأتعِسْ به!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٤) دعوى الجاهليّةِ والافتخارُ بالأنساب</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اختلف نفرٌ من الأنصار ونفرٌ من المهاجرين، فنادى المهاجريُّ: يا للمهاجرين! ونادى الأنصاريُّ: يا للأنصار! فقال ﷺ: </w:t>
      </w:r>
      <w:r>
        <w:rPr>
          <w:rFonts w:ascii="Traditional Arabic" w:cs="Traditional Arabic" w:eastAsia="Traditional Arabic" w:hAnsi="Traditional Arabic"/>
          <w:b/>
          <w:bCs/>
          <w:i w:val="false"/>
          <w:iCs w:val="false"/>
          <w:sz w:val="28"/>
          <w:szCs w:val="28"/>
          <w:rtl/>
        </w:rPr>
        <w:t xml:space="preserve">«أبدَعوى الجاهليّةِ وأنا بين أظهُركم؟!… دَعُوها فإنّها مُنتِنة»</w:t>
      </w:r>
      <w:r>
        <w:rPr>
          <w:rFonts w:ascii="Traditional Arabic" w:cs="Traditional Arabic" w:eastAsia="Traditional Arabic" w:hAnsi="Traditional Arabic"/>
          <w:b w:val="false"/>
          <w:bCs w:val="false"/>
          <w:i w:val="false"/>
          <w:iCs w:val="false"/>
          <w:sz w:val="28"/>
          <w:szCs w:val="28"/>
          <w:rtl/>
        </w:rPr>
        <w:t xml:space="preserve">. متفقٌ عليه. </w:t>
      </w:r>
      <w:r>
        <w:rPr>
          <w:rFonts w:ascii="Traditional Arabic" w:cs="Traditional Arabic" w:eastAsia="Traditional Arabic" w:hAnsi="Traditional Arabic"/>
          <w:b/>
          <w:bCs/>
          <w:i w:val="false"/>
          <w:iCs w:val="false"/>
          <w:sz w:val="28"/>
          <w:szCs w:val="28"/>
          <w:rtl/>
        </w:rPr>
        <w:t xml:space="preserve">انتسبوا — واللهِ — إلى نسبةٍ شريفة: إلى الأنصار وإلى المهاجرين، ومع ذلك سمّاها دعوى الجاهليّة!</w:t>
      </w:r>
      <w:r>
        <w:rPr>
          <w:rFonts w:ascii="Traditional Arabic" w:cs="Traditional Arabic" w:eastAsia="Traditional Arabic" w:hAnsi="Traditional Arabic"/>
          <w:b w:val="false"/>
          <w:bCs w:val="false"/>
          <w:i w:val="false"/>
          <w:iCs w:val="false"/>
          <w:sz w:val="28"/>
          <w:szCs w:val="28"/>
          <w:rtl/>
        </w:rPr>
        <w:t xml:space="preserve"> فكيف بمن يوالي ويعادي اليومَ على قبيلةٍ أو جنسيّةٍ أو نادٍ رياضيّ؟</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وعيَّر أبو ذرٍّ ﵁ رجلًا بأمّه، فقال له ﷺ: </w:t>
      </w:r>
      <w:r>
        <w:rPr>
          <w:rFonts w:ascii="Traditional Arabic" w:cs="Traditional Arabic" w:eastAsia="Traditional Arabic" w:hAnsi="Traditional Arabic"/>
          <w:b/>
          <w:bCs/>
          <w:i w:val="false"/>
          <w:iCs w:val="false"/>
          <w:sz w:val="28"/>
          <w:szCs w:val="28"/>
          <w:rtl/>
        </w:rPr>
        <w:t xml:space="preserve">«أَعَيَّرتَه بأمِّه؟ إنّك امرؤٌ فيك جاهليّة»</w:t>
      </w:r>
      <w:r>
        <w:rPr>
          <w:rFonts w:ascii="Traditional Arabic" w:cs="Traditional Arabic" w:eastAsia="Traditional Arabic" w:hAnsi="Traditional Arabic"/>
          <w:b w:val="false"/>
          <w:bCs w:val="false"/>
          <w:i w:val="false"/>
          <w:iCs w:val="false"/>
          <w:sz w:val="28"/>
          <w:szCs w:val="28"/>
          <w:rtl/>
        </w:rPr>
        <w:t xml:space="preserve">. متفقٌ عليه. </w:t>
      </w:r>
      <w:r>
        <w:rPr>
          <w:rFonts w:ascii="Traditional Arabic" w:cs="Traditional Arabic" w:eastAsia="Traditional Arabic" w:hAnsi="Traditional Arabic"/>
          <w:b/>
          <w:bCs/>
          <w:i w:val="false"/>
          <w:iCs w:val="false"/>
          <w:sz w:val="28"/>
          <w:szCs w:val="28"/>
          <w:rtl/>
        </w:rPr>
        <w:t xml:space="preserve">صحابيٌّ موحِّدٌ يُقال له: فيك جاهليّة! فكيف بنا؟</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٥) الهوى والتعصُّبُ للرأي</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وإمامُنا الشافعيُّ رحمه الله قال ليونس بن عبد الأعلى بعد أن تناظرا في مسألةٍ فافترقا: </w:t>
      </w:r>
      <w:r>
        <w:rPr>
          <w:rFonts w:ascii="Traditional Arabic" w:cs="Traditional Arabic" w:eastAsia="Traditional Arabic" w:hAnsi="Traditional Arabic"/>
          <w:b/>
          <w:bCs/>
          <w:i w:val="false"/>
          <w:iCs w:val="false"/>
          <w:sz w:val="28"/>
          <w:szCs w:val="28"/>
          <w:rtl/>
        </w:rPr>
        <w:t xml:space="preserve">يا أبا موسى، ألا يستقيمُ أن نكون إخوانًا وإن لم نتّفق في مسألة؟</w:t>
      </w:r>
      <w:r>
        <w:rPr>
          <w:rStyle w:val="FootnoteReference"/>
        </w:rPr>
        <w:footnoteReference w:id="8"/>
      </w:r>
      <w:r>
        <w:rPr>
          <w:rFonts w:ascii="Traditional Arabic" w:cs="Traditional Arabic" w:eastAsia="Traditional Arabic" w:hAnsi="Traditional Arabic"/>
          <w:b w:val="false"/>
          <w:bCs w:val="false"/>
          <w:i w:val="false"/>
          <w:iCs w:val="false"/>
          <w:sz w:val="28"/>
          <w:szCs w:val="28"/>
          <w:rtl/>
        </w:rPr>
        <w:t xml:space="preserve"> فلِمَ هذا الإقصاءُ والتشرذم؟</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ثانيًا: آثارُ التفرُّق</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اختلافُ القلوب</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يقول ﷺ: </w:t>
      </w:r>
      <w:r>
        <w:rPr>
          <w:rFonts w:ascii="Traditional Arabic" w:cs="Traditional Arabic" w:eastAsia="Traditional Arabic" w:hAnsi="Traditional Arabic"/>
          <w:b/>
          <w:bCs/>
          <w:i w:val="false"/>
          <w:iCs w:val="false"/>
          <w:sz w:val="28"/>
          <w:szCs w:val="28"/>
          <w:rtl/>
        </w:rPr>
        <w:t xml:space="preserve">«ولا تختلفوا فتختلفَ قلوبُكم»</w:t>
      </w:r>
      <w:r>
        <w:rPr>
          <w:rFonts w:ascii="Traditional Arabic" w:cs="Traditional Arabic" w:eastAsia="Traditional Arabic" w:hAnsi="Traditional Arabic"/>
          <w:b w:val="false"/>
          <w:bCs w:val="false"/>
          <w:i w:val="false"/>
          <w:iCs w:val="false"/>
          <w:sz w:val="28"/>
          <w:szCs w:val="28"/>
          <w:rtl/>
        </w:rPr>
        <w:t xml:space="preserve">. رواه مسلم. فإذا اختلفت القلوبُ انطوت على الحقدِ والقطيعةِ والبغيِ والحسد. </w:t>
      </w:r>
      <w:r>
        <w:rPr>
          <w:rFonts w:ascii="Traditional Arabic" w:cs="Traditional Arabic" w:eastAsia="Traditional Arabic" w:hAnsi="Traditional Arabic"/>
          <w:b/>
          <w:bCs/>
          <w:i w:val="false"/>
          <w:iCs w:val="false"/>
          <w:sz w:val="28"/>
          <w:szCs w:val="28"/>
          <w:rtl/>
        </w:rPr>
        <w:t xml:space="preserve">فاحرِصْ ألّا تختلف — لا عجزًا، بل حفاظًا على سلامة قلبك</w:t>
      </w:r>
      <w:r>
        <w:rPr>
          <w:rFonts w:ascii="Traditional Arabic" w:cs="Traditional Arabic" w:eastAsia="Traditional Arabic" w:hAnsi="Traditional Arabic"/>
          <w:b w:val="false"/>
          <w:bCs w:val="false"/>
          <w:i w:val="false"/>
          <w:iCs w:val="false"/>
          <w:sz w:val="28"/>
          <w:szCs w:val="28"/>
          <w:rtl/>
        </w:rPr>
        <w:t xml:space="preserve">؛ ودُلُّوني على رجلٍ خاصم فلم يؤثِّر ذلك في خشوعه!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ذهابُ البركة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وفي «صحيح البخاري» عن عُبادة بن الصامت ﵁ أنّ النبيَّ ﷺ خرج يُخبر بليلة القدر، </w:t>
      </w:r>
      <w:r>
        <w:rPr>
          <w:rFonts w:ascii="Traditional Arabic" w:cs="Traditional Arabic" w:eastAsia="Traditional Arabic" w:hAnsi="Traditional Arabic"/>
          <w:b/>
          <w:bCs/>
          <w:i w:val="false"/>
          <w:iCs w:val="false"/>
          <w:sz w:val="28"/>
          <w:szCs w:val="28"/>
          <w:rtl/>
        </w:rPr>
        <w:t xml:space="preserve">فتلاحى رجلان من المسلمين، فقال: «خرجتُ لأُخبركم بليلة القدر، فتلاحى فلانٌ وفلان فرُفِعت»</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فذهب التعيينُ بسبب خصومة رجلين!</w:t>
      </w:r>
      <w:r>
        <w:rPr>
          <w:rFonts w:ascii="Traditional Arabic" w:cs="Traditional Arabic" w:eastAsia="Traditional Arabic" w:hAnsi="Traditional Arabic"/>
          <w:b w:val="false"/>
          <w:bCs w:val="false"/>
          <w:i w:val="false"/>
          <w:iCs w:val="false"/>
          <w:sz w:val="28"/>
          <w:szCs w:val="28"/>
          <w:rtl/>
        </w:rPr>
        <w:t xml:space="preserve"> فكيف بالمشاحن والمقاطع يرجو أن يُبارَك له في ماله وولده؟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٣) ضعفُ الأمّة وهوانُها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تعالى: </w:t>
      </w:r>
      <w:r>
        <w:rPr>
          <w:rFonts w:ascii="Traditional Arabic" w:cs="Traditional Arabic" w:eastAsia="Traditional Arabic" w:hAnsi="Traditional Arabic"/>
          <w:b/>
          <w:bCs/>
          <w:i w:val="false"/>
          <w:iCs w:val="false"/>
          <w:sz w:val="28"/>
          <w:szCs w:val="28"/>
          <w:rtl/>
        </w:rPr>
        <w:t xml:space="preserve">﴿وَلَا تَنَازَعُوا فَتَفْشَلُوا وَتَذْهَبَ رِيحُكُمْ﴾</w:t>
      </w:r>
      <w:r>
        <w:rPr>
          <w:rFonts w:ascii="Traditional Arabic" w:cs="Traditional Arabic" w:eastAsia="Traditional Arabic" w:hAnsi="Traditional Arabic"/>
          <w:b w:val="false"/>
          <w:bCs w:val="false"/>
          <w:i w:val="false"/>
          <w:iCs w:val="false"/>
          <w:sz w:val="28"/>
          <w:szCs w:val="28"/>
          <w:rtl/>
        </w:rPr>
        <w:t xml:space="preserve"> — أي قوّتُكم وعزمُكم وسؤدُدُكم. </w:t>
      </w:r>
      <w:r>
        <w:rPr>
          <w:rFonts w:ascii="Traditional Arabic" w:cs="Traditional Arabic" w:eastAsia="Traditional Arabic" w:hAnsi="Traditional Arabic"/>
          <w:b/>
          <w:bCs/>
          <w:i w:val="false"/>
          <w:iCs w:val="false"/>
          <w:sz w:val="28"/>
          <w:szCs w:val="28"/>
          <w:rtl/>
        </w:rPr>
        <w:t xml:space="preserve">فكيف للأمّة أن تنتصر على عدوّها وهي متفرّقة؟</w:t>
      </w:r>
      <w:r>
        <w:rPr>
          <w:rFonts w:ascii="Traditional Arabic" w:cs="Traditional Arabic" w:eastAsia="Traditional Arabic" w:hAnsi="Traditional Arabic"/>
          <w:b w:val="false"/>
          <w:bCs w:val="false"/>
          <w:i w:val="false"/>
          <w:iCs w:val="false"/>
          <w:sz w:val="28"/>
          <w:szCs w:val="28"/>
          <w:rtl/>
        </w:rPr>
        <w:t xml:space="preserve"> وقد قال ﷺ: «يوشكُ أن تداعى عليكم الأممُ كما تداعى الأكَلةُ إلى قصعتها»</w:t>
      </w:r>
      <w:r>
        <w:rPr>
          <w:rStyle w:val="FootnoteReference"/>
        </w:rPr>
        <w:footnoteReference w:id="9"/>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يا أمّة الإسلام، ويا دعاةَ السنّة والجماعة: إن أردتم العزَّ والتمكين </w:t>
      </w:r>
      <w:r>
        <w:rPr>
          <w:rFonts w:ascii="Traditional Arabic" w:cs="Traditional Arabic" w:eastAsia="Traditional Arabic" w:hAnsi="Traditional Arabic"/>
          <w:b/>
          <w:bCs/>
          <w:i w:val="false"/>
          <w:iCs w:val="false"/>
          <w:sz w:val="28"/>
          <w:szCs w:val="28"/>
          <w:rtl/>
        </w:rPr>
        <w:t xml:space="preserve">فاجتمعوا، وتكاملوا ولا تتآكلوا</w:t>
      </w:r>
      <w:r>
        <w:rPr>
          <w:rFonts w:ascii="Traditional Arabic" w:cs="Traditional Arabic" w:eastAsia="Traditional Arabic" w:hAnsi="Traditional Arabic"/>
          <w:b w:val="false"/>
          <w:bCs w:val="false"/>
          <w:i w:val="false"/>
          <w:iCs w:val="false"/>
          <w:sz w:val="28"/>
          <w:szCs w:val="28"/>
          <w:rtl/>
        </w:rPr>
        <w:t xml:space="preserve">؛ فإنّ ائتلافَكم ائتلافٌ للأمّة، وافتراقَكم تشرذُمٌ وضعفٌ لها. ومَن لم يُصدِّق فحاضرُنا يُنبئه، وتاريخُ ملوك الطوائف يسردُ عليه القصصَ المؤلمة.</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أن يجمع قلوبَنا على الكتاب والسنّة، وأن يؤلّف بينها، إنه وليُّ ذلك والقادرُ عليه.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أصلُ ذلك ما رواه البخاري في «صحيحه» في تفسير سورة نوح عن ابن عباس ﵄ في قوله تعالى ﴿وَدًّا وَلَا سُوَاعًا﴾: «أسماءُ رجالٍ صالحين من قوم نوح، فلمّا هلكوا أوحى الشيطانُ إلى قومهم أنِ انصِبوا إلى مجالسهم التي كانوا يجلسون أنصابًا وسمّوها بأسمائهم، ففعلوا فلم تُعبَد، حتى إذا هلك أولئك ونُسِخ العلمُ عُبِدت».</w:t>
      </w:r>
    </w:p>
  </w:footnote>
  <w:footnote w:id="2">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(٣٥٣٧) وابن ماجه (٤٢٥٣) وأحمد من حديث ابن عمر ﵄. قال الترمذي: «حسنٌ غريب»، وحسّنه الألباني في «صحيح الجامع» (١٩٠٣) و«صحيح الترغيب» (٣١٤٣).</w:t>
      </w:r>
    </w:p>
  </w:footnote>
  <w:footnote w:id="3">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(٢٤٩٩) وابن ماجه (٤٢٥١) والدارمي من حديث أنس ﵁، وحسّنه الألباني في «صحيح الجامع» (٤٥١٥) و«صحيح الترغيب» (٣١٤٠).</w:t>
      </w:r>
    </w:p>
  </w:footnote>
  <w:footnote w:id="4">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(١٩٨٧) وأحمد من حديث أبي ذرٍّ ﵁، وقال الترمذي: «حسنٌ صحيح»، وحسّنه الألباني في «صحيح الجامع» (٩٧).</w:t>
      </w:r>
    </w:p>
  </w:footnote>
  <w:footnote w:id="5">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(٤٢٥٢) وأحمد والحاكم من حديث ابن مسعود ﵁ وأنسٍ ﵁، وصحّحه الألباني في «صحيح الجامع» (٦٨٠٢) و«السلسلة الصحيحة» (٣٥٥١).</w:t>
      </w:r>
    </w:p>
  </w:footnote>
  <w:footnote w:id="6">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أثرٌ عن ابن عباس ﵄، أخرجه ابن أبي حاتم وغيره، وذكره ابن كثير في «تفسيره» عند قوله تعالى ﴿وَأَنزَلْنَا مِنَ السَّمَاءِ مَاءً بِقَدَرٍ﴾. ولم أقف على حكمٍ لإمامٍ على إسناده بعينه في كتب الشيخ الألباني الحاضرة.</w:t>
      </w:r>
    </w:p>
  </w:footnote>
  <w:footnote w:id="7">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(١/٤٣٥) والنسائي في «الكبرى» والدارمي والحاكم من حديث ابن مسعود ﵁، وحسّنه الألباني في «السلسلة الصحيحة» (٢٤٣٧) و«ظلال الجنة» (١٦-١٧).</w:t>
      </w:r>
    </w:p>
  </w:footnote>
  <w:footnote w:id="8">
    <w:p>
      <w:pPr>
        <w:bidi/>
        <w:jc w:val="right"/>
      </w:pPr>
      <w:r>
        <w:rPr>
          <w:rStyle w:val="FootnoteReference"/>
        </w:rPr>
        <w:footnoteRef/>
      </w:r>
      <w:r>
        <w:rPr>
          <w:rFonts w:ascii="Traditional Arabic" w:cs="Traditional Arabic" w:eastAsia="Traditional Arabic" w:hAnsi="Traditional Arabic"/>
          <w:sz w:val="20"/>
          <w:szCs w:val="20"/>
          <w:rtl/>
        </w:rPr>
        <w:t xml:space="preserve">رواه البيهقي في «مناقب الشافعي»، وذكره الذهبي في «سير أعلام النبلاء». وهو من أخبار التراجم لا من المرفوع.</w:t>
      </w:r>
    </w:p>
  </w:footnote>
  <w:footnote w:id="9">
    <w:p>
      <w:pPr>
        <w:bidi/>
        <w:jc w:val="right"/>
      </w:pPr>
      <w:r>
        <w:rPr>
          <w:rStyle w:val="FootnoteReference"/>
        </w:rPr>
        <w:footnoteRef/>
      </w:r>
      <w:r>
        <w:rPr>
          <w:rFonts w:ascii="Traditional Arabic" w:cs="Traditional Arabic" w:eastAsia="Traditional Arabic" w:hAnsi="Traditional Arabic"/>
          <w:sz w:val="20"/>
          <w:szCs w:val="20"/>
          <w:rtl/>
        </w:rPr>
        <w:t xml:space="preserve">رواه أبو داود (٤٢٩٧) وأحمد من حديث ثوبان ﵁، وصحّحه الألباني في «السلسلة الصحيحة» (٩٥٨) و«صحيح الجامع» (٨١٨٣).</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﴿وَاعْتَصِمُوا بِحَبْلِ اللَّهِ جَمِيعًا﴾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2026-08-01T09:28:59.300Z</dcterms:created>
  <dcterms:modified xsi:type="dcterms:W3CDTF">2026-08-01T09:28:59.300Z</dcterms:modified>
</cp:coreProperties>
</file>

<file path=docProps/custom.xml><?xml version="1.0" encoding="utf-8"?>
<Properties xmlns="http://schemas.openxmlformats.org/officeDocument/2006/custom-properties" xmlns:vt="http://schemas.openxmlformats.org/officeDocument/2006/docPropsVTypes"/>
</file>