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حفظُ المعروفِ وردُّ الجميل</w:t>
      </w:r>
    </w:p>
    <w:p>
      <w:pPr>
        <w:spacing w:after="120"/>
      </w:pPr>
      <w:r>
        <w:rPr>
          <w:color w:val="8A6A1F"/>
          <w:sz w:val="36"/>
          <w:szCs w:val="36"/>
        </w:rPr>
        <w:t xml:space="preserve">فضائلُه، وصُوَرُه: مع الوالدَين، والمُعلِّم، والزوجة، والصاحب</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w:t>
      </w:r>
      <w:r>
        <w:rPr>
          <w:b/>
          <w:bCs/>
          <w:color w:val="1F5C3A"/>
          <w:sz w:val="36"/>
          <w:szCs w:val="36"/>
        </w:rPr>
        <w:t xml:space="preserve">«لو كان المُطعِمُ حيًّا»</w:t>
      </w:r>
    </w:p>
    <w:p>
      <w:pPr>
        <w:spacing w:after="140" w:line="340" w:lineRule="auto"/>
        <w:jc w:val="both"/>
      </w:pPr>
      <w:r>
        <w:rPr>
          <w:color w:val="1A1A1A"/>
          <w:sz w:val="36"/>
          <w:szCs w:val="36"/>
        </w:rPr>
        <w:t xml:space="preserve">وبعدُ، أحبَّتي في الله، معاشرَ المصلِّين: بعد بدرٍ وقد أُسِرَ سبعون من صناديدِ قريش، ينظُرُ إليهم ﷺ ـ وهو الذي أُخرِجَ من مكةَ وأُوذيَ فيها ـ ثم يقول:</w:t>
      </w:r>
    </w:p>
    <w:p>
      <w:pPr>
        <w:pBdr>
          <w:right w:val="single" w:sz="12" w:space="10" w:color="8A6A1F"/>
        </w:pBdr>
        <w:spacing w:before="120" w:after="160" w:line="320" w:lineRule="auto"/>
        <w:ind w:left="504" w:right="504"/>
        <w:jc w:val="both"/>
      </w:pPr>
      <w:r>
        <w:rPr>
          <w:b/>
          <w:bCs/>
          <w:color w:val="1F5C3A"/>
          <w:sz w:val="36"/>
          <w:szCs w:val="36"/>
        </w:rPr>
        <w:t xml:space="preserve">«لو كان المُطعِمُ بنُ عَدِيٍّ حيًّا، ثم كلَّمَني في هؤلاء النَّتْنى، لتركتُهم له»</w:t>
      </w:r>
      <w:r>
        <w:rPr>
          <w:rStyle w:val="a5"/>
          <w:sz w:val="36"/>
          <w:szCs w:val="36"/>
        </w:rPr>
        <w:footnoteReference w:id="1"/>
      </w:r>
    </w:p>
    <w:p>
      <w:pPr>
        <w:spacing w:after="140" w:line="340" w:lineRule="auto"/>
        <w:jc w:val="both"/>
      </w:pPr>
      <w:r>
        <w:rPr>
          <w:color w:val="1A1A1A"/>
          <w:sz w:val="36"/>
          <w:szCs w:val="36"/>
        </w:rPr>
        <w:t xml:space="preserve">والمُطعِمُ بنُ عَدِيٍّ ماتَ كافرًا بمكة، ولم يشهَدْ بدرًا، ولا يَنالُ النبيَّ ﷺ منه اليومَ نفعٌ ولا ضَرّ؛ ولكنّه كان قد أجارَه حين رجَعَ من الطائف. **فما نسيَ ﷺ ذلك المعروف.**</w:t>
      </w:r>
    </w:p>
    <w:p>
      <w:pPr>
        <w:spacing w:after="140" w:line="340" w:lineRule="auto"/>
        <w:jc w:val="both"/>
      </w:pPr>
      <w:r>
        <w:rPr>
          <w:color w:val="1A1A1A"/>
          <w:sz w:val="36"/>
          <w:szCs w:val="36"/>
        </w:rPr>
        <w:t xml:space="preserve">فحديثي اليومَ عن خُلُقٍ عظيمٍ كادَ يَندَثِر: **حفظُ المعروفِ وردُّ الجميل**.</w:t>
      </w:r>
    </w:p>
    <w:p>
      <w:pPr>
        <w:spacing w:before="260" w:after="120"/>
      </w:pPr>
      <w:r>
        <w:rPr>
          <w:b/>
          <w:bCs/>
          <w:color w:val="1F5C3A"/>
          <w:sz w:val="36"/>
          <w:szCs w:val="36"/>
        </w:rPr>
        <w:t xml:space="preserve">أولًا: فضائلُه</w:t>
      </w:r>
    </w:p>
    <w:p>
      <w:pPr>
        <w:spacing w:before="200" w:after="100"/>
      </w:pPr>
      <w:r>
        <w:rPr>
          <w:b/>
          <w:bCs/>
          <w:color w:val="1A1A1A"/>
          <w:sz w:val="36"/>
          <w:szCs w:val="36"/>
        </w:rPr>
        <w:t xml:space="preserve">١) أنه من أخلاقِ الأنبياء</w:t>
      </w:r>
    </w:p>
    <w:p>
      <w:pPr>
        <w:spacing w:after="140" w:line="340" w:lineRule="auto"/>
        <w:jc w:val="both"/>
      </w:pPr>
      <w:r>
        <w:rPr>
          <w:color w:val="1A1A1A"/>
          <w:sz w:val="36"/>
          <w:szCs w:val="36"/>
        </w:rPr>
        <w:t xml:space="preserve">فقد رأيتَ حالَ نبيِّنا ﷺ. وهذا موسى ﵇ لمّا سقى للمرأتَين ثم تولّى إلى الظلِّ يدعو: </w:t>
      </w:r>
      <w:r>
        <w:rPr>
          <w:b/>
          <w:bCs/>
          <w:color w:val="8A6A1F"/>
          <w:sz w:val="36"/>
          <w:szCs w:val="36"/>
        </w:rPr>
        <w:t xml:space="preserve">﴿رَبِّ إِنِّي لِمَا أَنزَلْتَ إِلَيَّ مِنْ خَيْرٍ فَقِيرٌ﴾</w:t>
      </w:r>
      <w:r>
        <w:rPr>
          <w:color w:val="1A1A1A"/>
          <w:sz w:val="36"/>
          <w:szCs w:val="36"/>
        </w:rPr>
        <w:t xml:space="preserve"> ـ فجاءَتْه إحداهما </w:t>
      </w:r>
      <w:r>
        <w:rPr>
          <w:b/>
          <w:bCs/>
          <w:color w:val="8A6A1F"/>
          <w:sz w:val="36"/>
          <w:szCs w:val="36"/>
        </w:rPr>
        <w:t xml:space="preserve">﴿تَمْشِي عَلَى اسْتِحْيَاءٍ﴾</w:t>
      </w:r>
      <w:r>
        <w:rPr>
          <w:color w:val="1A1A1A"/>
          <w:sz w:val="36"/>
          <w:szCs w:val="36"/>
        </w:rPr>
        <w:t xml:space="preserve"> تقول: </w:t>
      </w:r>
      <w:r>
        <w:rPr>
          <w:b/>
          <w:bCs/>
          <w:color w:val="8A6A1F"/>
          <w:sz w:val="36"/>
          <w:szCs w:val="36"/>
        </w:rPr>
        <w:t xml:space="preserve">﴿إِنَّ أَبِي يَدْعُوكَ لِيَجْزِيَكَ أَجْرَ مَا سَقَيْتَ لَنَا﴾</w:t>
      </w:r>
      <w:r>
        <w:rPr>
          <w:color w:val="1A1A1A"/>
          <w:sz w:val="36"/>
          <w:szCs w:val="36"/>
        </w:rPr>
        <w:t xml:space="preserve">. فردُّوا له الجميل.</w:t>
      </w:r>
    </w:p>
    <w:p>
      <w:pPr>
        <w:spacing w:before="200" w:after="100"/>
      </w:pPr>
      <w:r>
        <w:rPr>
          <w:b/>
          <w:bCs/>
          <w:color w:val="1A1A1A"/>
          <w:sz w:val="36"/>
          <w:szCs w:val="36"/>
        </w:rPr>
        <w:t xml:space="preserve">٢) أنه أمرٌ من الله</w:t>
      </w:r>
    </w:p>
    <w:p>
      <w:pPr>
        <w:spacing w:after="140" w:line="340" w:lineRule="auto"/>
        <w:jc w:val="both"/>
      </w:pPr>
      <w:r>
        <w:rPr>
          <w:color w:val="1A1A1A"/>
          <w:sz w:val="36"/>
          <w:szCs w:val="36"/>
        </w:rPr>
        <w:t xml:space="preserve">قال تعالى:</w:t>
      </w:r>
    </w:p>
    <w:p>
      <w:pPr>
        <w:pBdr>
          <w:right w:val="single" w:sz="12" w:space="10" w:color="8A6A1F"/>
        </w:pBdr>
        <w:spacing w:before="120" w:after="160" w:line="320" w:lineRule="auto"/>
        <w:ind w:left="504" w:right="504"/>
        <w:jc w:val="both"/>
      </w:pPr>
      <w:r>
        <w:rPr>
          <w:b/>
          <w:bCs/>
          <w:color w:val="8A6A1F"/>
          <w:sz w:val="36"/>
          <w:szCs w:val="36"/>
        </w:rPr>
        <w:t xml:space="preserve">﴿هَلْ جَزَاءُ الْإِحْسَانِ إِلَّا الْإِحْسَانُ﴾</w:t>
      </w:r>
    </w:p>
    <w:p>
      <w:pPr>
        <w:spacing w:after="140" w:line="340" w:lineRule="auto"/>
        <w:jc w:val="both"/>
      </w:pPr>
      <w:r>
        <w:rPr>
          <w:color w:val="1A1A1A"/>
          <w:sz w:val="36"/>
          <w:szCs w:val="36"/>
        </w:rPr>
        <w:t xml:space="preserve">وقال: </w:t>
      </w:r>
      <w:r>
        <w:rPr>
          <w:b/>
          <w:bCs/>
          <w:color w:val="8A6A1F"/>
          <w:sz w:val="36"/>
          <w:szCs w:val="36"/>
        </w:rPr>
        <w:t xml:space="preserve">﴿وَلَا تَنسَوُا الْفَضْلَ بَيْنَكُمْ ۚ إِنَّ اللَّهَ بِمَا تَعْمَلُونَ بَصِيرٌ﴾</w:t>
      </w:r>
      <w:r>
        <w:rPr>
          <w:color w:val="1A1A1A"/>
          <w:sz w:val="36"/>
          <w:szCs w:val="36"/>
        </w:rPr>
        <w:t xml:space="preserve">. فنسيانُ الفضلِ خُلُقٌ ذميم.</w:t>
      </w:r>
    </w:p>
    <w:p>
      <w:pPr>
        <w:spacing w:before="200" w:after="100"/>
      </w:pPr>
      <w:r>
        <w:rPr>
          <w:b/>
          <w:bCs/>
          <w:color w:val="1A1A1A"/>
          <w:sz w:val="36"/>
          <w:szCs w:val="36"/>
        </w:rPr>
        <w:t xml:space="preserve">٣) أنه من شُكرِ الله</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«لا يَشكُرُ اللهَ من لا يَشكُرُ الناس»</w:t>
      </w:r>
      <w:r>
        <w:rPr>
          <w:rStyle w:val="a5"/>
          <w:sz w:val="36"/>
          <w:szCs w:val="36"/>
        </w:rPr>
        <w:footnoteReference w:id="2"/>
      </w:r>
    </w:p>
    <w:p>
      <w:pPr>
        <w:spacing w:after="140" w:line="340" w:lineRule="auto"/>
        <w:jc w:val="both"/>
      </w:pPr>
      <w:r>
        <w:rPr>
          <w:color w:val="1A1A1A"/>
          <w:sz w:val="36"/>
          <w:szCs w:val="36"/>
        </w:rPr>
        <w:t xml:space="preserve">فالذي لا يَشكُرُ من أحسنَ إليه من الناسِ لن يَشكُرَ اللهَ حقَّ شُكرِه.</w:t>
      </w:r>
    </w:p>
    <w:p>
      <w:pPr>
        <w:spacing w:before="200" w:after="100"/>
      </w:pPr>
      <w:r>
        <w:rPr>
          <w:b/>
          <w:bCs/>
          <w:color w:val="1A1A1A"/>
          <w:sz w:val="36"/>
          <w:szCs w:val="36"/>
        </w:rPr>
        <w:t xml:space="preserve">٤) أنه من الدعاءِ والمُكافأة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«مَن صُنِعَ إليه معروفٌ فقال لفاعلِه: جزاك اللهُ خيرًا، فقد أبلَغَ في الثناء»</w:t>
      </w:r>
      <w:r>
        <w:rPr>
          <w:rStyle w:val="a5"/>
          <w:sz w:val="36"/>
          <w:szCs w:val="36"/>
        </w:rPr>
        <w:footnoteReference w:id="3"/>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«مَن أتى إليكم معروفًا فكافِئوه؛ فإن لم تجِدوا ما تُكافِئونه فادعوا له حتى تَرَوا أنكم قد كافأتموه»</w:t>
      </w:r>
      <w:r>
        <w:rPr>
          <w:rStyle w:val="a5"/>
          <w:sz w:val="36"/>
          <w:szCs w:val="36"/>
        </w:rPr>
        <w:footnoteReference w:id="4"/>
      </w:r>
    </w:p>
    <w:p>
      <w:pPr>
        <w:spacing w:after="140" w:line="340" w:lineRule="auto"/>
        <w:jc w:val="both"/>
      </w:pPr>
      <w:r>
        <w:rPr>
          <w:color w:val="1A1A1A"/>
          <w:sz w:val="36"/>
          <w:szCs w:val="36"/>
        </w:rPr>
        <w:t xml:space="preserve">فإن لم تملِكْ مالًا فادعُ له في ظهرِ الغيب.</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 صُوَرُ حفظِ المعروف؟</w:t>
      </w:r>
    </w:p>
    <w:p>
      <w:pPr>
        <w:spacing w:before="260" w:after="120"/>
      </w:pPr>
      <w:r>
        <w:rPr>
          <w:b/>
          <w:bCs/>
          <w:color w:val="1F5C3A"/>
          <w:sz w:val="36"/>
          <w:szCs w:val="36"/>
        </w:rPr>
        <w:t xml:space="preserve">ثانيًا: معروفُ الوالدَين</w:t>
      </w:r>
    </w:p>
    <w:p>
      <w:pPr>
        <w:spacing w:after="140" w:line="340" w:lineRule="auto"/>
        <w:jc w:val="both"/>
      </w:pPr>
      <w:r>
        <w:rPr>
          <w:color w:val="1A1A1A"/>
          <w:sz w:val="36"/>
          <w:szCs w:val="36"/>
        </w:rPr>
        <w:t xml:space="preserve">وهو أعظمُها؛ فلا معروفَ بعد معروفِ اللهِ أعظمُ من معروفِ الوالدَين. </w:t>
      </w:r>
      <w:r>
        <w:rPr>
          <w:b/>
          <w:bCs/>
          <w:color w:val="8A6A1F"/>
          <w:sz w:val="36"/>
          <w:szCs w:val="36"/>
        </w:rPr>
        <w:t xml:space="preserve">﴿وَقُل رَّبِّ ارْحَمْهُمَا كَمَا رَبَّيَانِي صَغِيرًا﴾</w:t>
      </w:r>
      <w:r>
        <w:rPr>
          <w:color w:val="1A1A1A"/>
          <w:sz w:val="36"/>
          <w:szCs w:val="36"/>
        </w:rPr>
        <w:t xml:space="preserve">.</w:t>
      </w:r>
    </w:p>
    <w:p>
      <w:pPr>
        <w:spacing w:after="140" w:line="340" w:lineRule="auto"/>
        <w:jc w:val="both"/>
      </w:pPr>
      <w:r>
        <w:rPr>
          <w:color w:val="1A1A1A"/>
          <w:sz w:val="36"/>
          <w:szCs w:val="36"/>
        </w:rPr>
        <w:t xml:space="preserve">فيا من نسيَ ليالي السَّهَرِ وأنت مريض، ونسيَ الكَدَّ والتعبَ من أجلِ لُقمتِك: اذكُرْ ذلك المعروفَ ورُدَّ الجميل. وقد قال ﷺ:</w:t>
      </w:r>
    </w:p>
    <w:p>
      <w:pPr>
        <w:pBdr>
          <w:right w:val="single" w:sz="12" w:space="10" w:color="8A6A1F"/>
        </w:pBdr>
        <w:spacing w:before="120" w:after="160" w:line="320" w:lineRule="auto"/>
        <w:ind w:left="504" w:right="504"/>
        <w:jc w:val="both"/>
      </w:pPr>
      <w:r>
        <w:rPr>
          <w:b/>
          <w:bCs/>
          <w:color w:val="1F5C3A"/>
          <w:sz w:val="36"/>
          <w:szCs w:val="36"/>
        </w:rPr>
        <w:t xml:space="preserve">«لا يَجزي ولدٌ والدًا إلا أن يجِدَه مملوكًا فيشتريَه فيُعتِقَه»</w:t>
      </w:r>
      <w:r>
        <w:rPr>
          <w:rStyle w:val="a5"/>
          <w:sz w:val="36"/>
          <w:szCs w:val="36"/>
        </w:rPr>
        <w:footnoteReference w:id="5"/>
      </w:r>
    </w:p>
    <w:p>
      <w:pPr>
        <w:spacing w:after="140" w:line="340" w:lineRule="auto"/>
        <w:jc w:val="both"/>
      </w:pPr>
      <w:r>
        <w:rPr>
          <w:color w:val="1A1A1A"/>
          <w:sz w:val="36"/>
          <w:szCs w:val="36"/>
        </w:rPr>
        <w:t xml:space="preserve">فلن تُوفِّيَه حقَّه مهما صنَعت.</w:t>
      </w:r>
    </w:p>
    <w:p>
      <w:pPr>
        <w:spacing w:before="260" w:after="120"/>
      </w:pPr>
      <w:r>
        <w:rPr>
          <w:b/>
          <w:bCs/>
          <w:color w:val="1F5C3A"/>
          <w:sz w:val="36"/>
          <w:szCs w:val="36"/>
        </w:rPr>
        <w:t xml:space="preserve">ثالثًا: معروفُ المُعلِّم</w:t>
      </w:r>
    </w:p>
    <w:p>
      <w:pPr>
        <w:spacing w:after="140" w:line="340" w:lineRule="auto"/>
        <w:jc w:val="both"/>
      </w:pPr>
      <w:r>
        <w:rPr>
          <w:color w:val="1A1A1A"/>
          <w:sz w:val="36"/>
          <w:szCs w:val="36"/>
        </w:rPr>
        <w:t xml:space="preserve">فهذا الذي علَّمَك ونقَلَك من ظُلمةِ الجهلِ إلى نورِ العلم؛ يستحِقُّ منك حفظَ المعروفِ والدعاءَ والتوقير. وقد كان الشافعيُّ ﵀ يقول: **إني لَأدعو لأحمدَ بنِ حنبلٍ في صلاتي منذُ أربعين سنة.**</w:t>
      </w:r>
      <w:r>
        <w:rPr>
          <w:rStyle w:val="a5"/>
          <w:sz w:val="36"/>
          <w:szCs w:val="36"/>
        </w:rPr>
        <w:footnoteReference w:id="6"/>
      </w:r>
      <w:r>
        <w:rPr>
          <w:color w:val="1A1A1A"/>
          <w:sz w:val="36"/>
          <w:szCs w:val="36"/>
        </w:rPr>
        <w:t xml:space="preserve"> وكان أحمدُ ﵀ يدعو لشيخِه الشافعيِّ ولا يترُكُه.</w:t>
      </w:r>
    </w:p>
    <w:p>
      <w:pPr>
        <w:spacing w:after="140" w:line="340" w:lineRule="auto"/>
        <w:jc w:val="both"/>
      </w:pPr>
      <w:r>
        <w:rPr>
          <w:color w:val="1A1A1A"/>
          <w:sz w:val="36"/>
          <w:szCs w:val="36"/>
        </w:rPr>
        <w:t xml:space="preserve">فأينَ نحن من هذا مع مُعلِّمينا ومشايخِنا؟</w:t>
      </w:r>
    </w:p>
    <w:p>
      <w:pPr>
        <w:spacing w:before="260" w:after="120"/>
      </w:pPr>
      <w:r>
        <w:rPr>
          <w:b/>
          <w:bCs/>
          <w:color w:val="1F5C3A"/>
          <w:sz w:val="36"/>
          <w:szCs w:val="36"/>
        </w:rPr>
        <w:t xml:space="preserve">رابعًا: معروفُ الزوجة</w:t>
      </w:r>
    </w:p>
    <w:p>
      <w:pPr>
        <w:spacing w:after="140" w:line="340" w:lineRule="auto"/>
        <w:jc w:val="both"/>
      </w:pPr>
      <w:r>
        <w:rPr>
          <w:color w:val="1A1A1A"/>
          <w:sz w:val="36"/>
          <w:szCs w:val="36"/>
        </w:rPr>
        <w:t xml:space="preserve">فيا أيها الزوج: اذكُرْ معروفَ زوجتِك التي قامَتْ على بيتِك وولدِك. وقد حذَّرَ ﷺ من ضدِّ ذلك فقال في النساء:</w:t>
      </w:r>
    </w:p>
    <w:p>
      <w:pPr>
        <w:pBdr>
          <w:right w:val="single" w:sz="12" w:space="10" w:color="8A6A1F"/>
        </w:pBdr>
        <w:spacing w:before="120" w:after="160" w:line="320" w:lineRule="auto"/>
        <w:ind w:left="504" w:right="504"/>
        <w:jc w:val="both"/>
      </w:pPr>
      <w:r>
        <w:rPr>
          <w:b/>
          <w:bCs/>
          <w:color w:val="1F5C3A"/>
          <w:sz w:val="36"/>
          <w:szCs w:val="36"/>
        </w:rPr>
        <w:t xml:space="preserve">«يَكفُرْنَ العَشير»</w:t>
      </w:r>
      <w:r>
        <w:rPr>
          <w:b/>
          <w:bCs/>
          <w:color w:val="1F5C3A"/>
          <w:sz w:val="36"/>
          <w:szCs w:val="36"/>
        </w:rPr>
        <w:t xml:space="preserve"> ـ قيل: أَيكفُرْنَ بالله؟ قال: </w:t>
      </w:r>
      <w:r>
        <w:rPr>
          <w:b/>
          <w:bCs/>
          <w:color w:val="1F5C3A"/>
          <w:sz w:val="36"/>
          <w:szCs w:val="36"/>
        </w:rPr>
        <w:t xml:space="preserve">«يَكفُرْنَ الإحسان؛ لو أحسنتَ إلى إحداهنَّ الدهرَ ثم رأَتْ منك شيئًا قالت: ما رأيتُ منك خيرًا قطّ»</w:t>
      </w:r>
      <w:r>
        <w:rPr>
          <w:rStyle w:val="a5"/>
          <w:sz w:val="36"/>
          <w:szCs w:val="36"/>
        </w:rPr>
        <w:footnoteReference w:id="7"/>
      </w:r>
    </w:p>
    <w:p>
      <w:pPr>
        <w:spacing w:after="140" w:line="340" w:lineRule="auto"/>
        <w:jc w:val="both"/>
      </w:pPr>
      <w:r>
        <w:rPr>
          <w:color w:val="1A1A1A"/>
          <w:sz w:val="36"/>
          <w:szCs w:val="36"/>
        </w:rPr>
        <w:t xml:space="preserve">**والخطابُ في هذا للجميع**؛ فكما نُحذِّرُ المرأةَ من كُفرانِ إحسانِ زوجِها، فكذلك يُحذَّرُ الرجلُ من نسيانِ إحسانِ زوجتِه؛ فالنهيُ عن كُفرانِ المعروفِ عامٌّ في الرجالِ والنساء.</w:t>
      </w:r>
    </w:p>
    <w:p>
      <w:pPr>
        <w:spacing w:after="140" w:line="340" w:lineRule="auto"/>
        <w:jc w:val="both"/>
      </w:pPr>
      <w:r>
        <w:rPr>
          <w:color w:val="1A1A1A"/>
          <w:sz w:val="36"/>
          <w:szCs w:val="36"/>
        </w:rPr>
        <w:t xml:space="preserve">وتأمَّلْ وفاءَ النبيِّ ﷺ لخديجةَ ﵂ بعد وفاتِها: كان يُكثِرُ ذِكرَها، ويذبَحُ الشاةَ فيُهدي إلى صديقاتِها؛ حتى قالت عائشةُ ﵂: **ما غِرتُ على امرأةٍ ما غِرتُ على خديجة**. فقال ﷺ:</w:t>
      </w:r>
    </w:p>
    <w:p>
      <w:pPr>
        <w:pBdr>
          <w:right w:val="single" w:sz="12" w:space="10" w:color="8A6A1F"/>
        </w:pBdr>
        <w:spacing w:before="120" w:after="160" w:line="320" w:lineRule="auto"/>
        <w:ind w:left="504" w:right="504"/>
        <w:jc w:val="both"/>
      </w:pPr>
      <w:r>
        <w:rPr>
          <w:b/>
          <w:bCs/>
          <w:color w:val="1F5C3A"/>
          <w:sz w:val="36"/>
          <w:szCs w:val="36"/>
        </w:rPr>
        <w:t xml:space="preserve">«إني قد رُزِقتُ حُبَّها»</w:t>
      </w:r>
      <w:r>
        <w:rPr>
          <w:rStyle w:val="a5"/>
          <w:sz w:val="36"/>
          <w:szCs w:val="36"/>
        </w:rPr>
        <w:footnoteReference w:id="8"/>
      </w:r>
    </w:p>
    <w:p>
      <w:pPr>
        <w:spacing w:after="140" w:line="340" w:lineRule="auto"/>
        <w:jc w:val="both"/>
      </w:pPr>
      <w:r>
        <w:rPr>
          <w:color w:val="1A1A1A"/>
          <w:sz w:val="36"/>
          <w:szCs w:val="36"/>
        </w:rPr>
        <w:t xml:space="preserve">بل قال ﷺ: **</w:t>
      </w:r>
      <w:r>
        <w:rPr>
          <w:b/>
          <w:bCs/>
          <w:color w:val="1F5C3A"/>
          <w:sz w:val="36"/>
          <w:szCs w:val="36"/>
        </w:rPr>
        <w:t xml:space="preserve">«آمنَتْ بي إذ كفرَ بي الناس، وصدَّقَتْني إذ كذَّبَني الناس، وواسَتْني بمالِها إذ حرَمَني الناس»</w:t>
      </w:r>
      <w:r>
        <w:rPr>
          <w:color w:val="1A1A1A"/>
          <w:sz w:val="36"/>
          <w:szCs w:val="36"/>
        </w:rPr>
        <w:t xml:space="preserve">**.</w:t>
      </w:r>
      <w:r>
        <w:rPr>
          <w:rStyle w:val="a5"/>
          <w:sz w:val="36"/>
          <w:szCs w:val="36"/>
        </w:rPr>
        <w:footnoteReference w:id="9"/>
      </w:r>
    </w:p>
    <w:p>
      <w:pPr>
        <w:spacing w:before="260" w:after="120"/>
      </w:pPr>
      <w:r>
        <w:rPr>
          <w:b/>
          <w:bCs/>
          <w:color w:val="1F5C3A"/>
          <w:sz w:val="36"/>
          <w:szCs w:val="36"/>
        </w:rPr>
        <w:t xml:space="preserve">خامسًا: معروفُ الصاحبِ وكلِّ محسن</w:t>
      </w:r>
    </w:p>
    <w:p>
      <w:pPr>
        <w:spacing w:after="140" w:line="340" w:lineRule="auto"/>
        <w:jc w:val="both"/>
      </w:pPr>
      <w:r>
        <w:rPr>
          <w:color w:val="1A1A1A"/>
          <w:sz w:val="36"/>
          <w:szCs w:val="36"/>
        </w:rPr>
        <w:t xml:space="preserve">فمن أحسنَ إليك ـ ولو بكلمة ـ فلا تَنسَه. **وأعظمُ صورةٍ لحفظِ المعروفِ أن تحفَظَه بعد موتِ صاحبِه**؛ قال ﷺ:</w:t>
      </w:r>
    </w:p>
    <w:p>
      <w:pPr>
        <w:pBdr>
          <w:right w:val="single" w:sz="12" w:space="10" w:color="8A6A1F"/>
        </w:pBdr>
        <w:spacing w:before="120" w:after="160" w:line="320" w:lineRule="auto"/>
        <w:ind w:left="504" w:right="504"/>
        <w:jc w:val="both"/>
      </w:pPr>
      <w:r>
        <w:rPr>
          <w:b/>
          <w:bCs/>
          <w:color w:val="1F5C3A"/>
          <w:sz w:val="36"/>
          <w:szCs w:val="36"/>
        </w:rPr>
        <w:t xml:space="preserve">«إنّ أَبَرَّ البِرِّ أن يَصِلَ الرجلُ أهلَ وُدِّ أبيه بعد أن يُوَلِّيَ»</w:t>
      </w:r>
      <w:r>
        <w:rPr>
          <w:rStyle w:val="a5"/>
          <w:sz w:val="36"/>
          <w:szCs w:val="36"/>
        </w:rPr>
        <w:footnoteReference w:id="10"/>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كرام: إنّ حفظَ المعروفِ من **الباقياتِ الصالحات**؛ </w:t>
      </w:r>
      <w:r>
        <w:rPr>
          <w:b/>
          <w:bCs/>
          <w:color w:val="8A6A1F"/>
          <w:sz w:val="36"/>
          <w:szCs w:val="36"/>
        </w:rPr>
        <w:t xml:space="preserve">﴿وَالْبَاقِيَاتُ الصَّالِحَاتُ خَيْرٌ عِندَ رَبِّكَ ثَوَابًا وَخَيْرٌ أَمَلًا﴾</w:t>
      </w:r>
      <w:r>
        <w:rPr>
          <w:color w:val="1A1A1A"/>
          <w:sz w:val="36"/>
          <w:szCs w:val="36"/>
        </w:rPr>
        <w:t xml:space="preserve">.</w:t>
      </w:r>
    </w:p>
    <w:p>
      <w:pPr>
        <w:spacing w:after="140" w:line="340" w:lineRule="auto"/>
        <w:jc w:val="both"/>
      </w:pPr>
      <w:r>
        <w:rPr>
          <w:color w:val="1A1A1A"/>
          <w:sz w:val="36"/>
          <w:szCs w:val="36"/>
        </w:rPr>
        <w:t xml:space="preserve">فأسألُ اللهَ العظيمَ ربَّ العرشِ العظيمِ أن يجعلَنا من الحافظين للمعروف، الشاكرين لأهلِ الفضل؛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جُبيرِ بن مُطعِمٍ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أبي هريرة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من حديث أسامةَ بنِ زيدٍ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والنسائيُّ من حديث ابن عمر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الإمامَينِ الشافعيِّ وأحمدَ ﵏؛ ذكرَها ابنُ الجوزيِّ في «المناقب» والذهبيُّ في «السير».</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عباس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واللفظُ لمسلم.</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عائشة ﵂، وحسَّنه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عمر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