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الشهادتان</w:t>
      </w:r>
    </w:p>
    <w:p>
      <w:pPr>
        <w:spacing w:after="120"/>
      </w:pPr>
      <w:r>
        <w:rPr>
          <w:color w:val="8A6A1F"/>
          <w:sz w:val="36"/>
          <w:szCs w:val="36"/>
        </w:rPr>
        <w:t xml:space="preserve">أقوالٌ وأفعالٌ تَنقُضُ التوحيدَ وقد استهانَ بها كثيرٌ من الناس</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صرحٌ قُوِّضَتْ دعائمُه</w:t>
      </w:r>
    </w:p>
    <w:p>
      <w:pPr>
        <w:spacing w:after="140" w:line="340" w:lineRule="auto"/>
        <w:jc w:val="both"/>
      </w:pPr>
      <w:r>
        <w:rPr>
          <w:color w:val="1A1A1A"/>
          <w:sz w:val="36"/>
          <w:szCs w:val="36"/>
        </w:rPr>
        <w:t xml:space="preserve">وبعدُ، أحبَّتي في الله، معاشرَ المصلِّين: شهادتانِ عظيمتان يدخُلُ بهما العبدُ في الإسلام، فيَبني صَرْحَ المجدِ في الدنيا وعند اللهِ يومَ يَقدَمُ عليه. لكنّ هذا الصرحَ المتينَ قد قوَّضَ دعائمَه كثيرٌ من الناس؛ فما فَهِموا معنى الشهادتَين ولا قاموا بمُقتضاهما، بل أتَوا بأقوالٍ وأفعالٍ تَهدِمُهما.</w:t>
      </w:r>
    </w:p>
    <w:p>
      <w:pPr>
        <w:spacing w:after="140" w:line="340" w:lineRule="auto"/>
        <w:jc w:val="both"/>
      </w:pPr>
      <w:r>
        <w:rPr>
          <w:color w:val="1A1A1A"/>
          <w:sz w:val="36"/>
          <w:szCs w:val="36"/>
        </w:rPr>
        <w:t xml:space="preserve">فكلامي اليومَ عن نماذجَ ثلاثةٍ من الكفرياتِ والشركياتِ التي استهانَ بها بعضُ أهلِ الإسلام. ولستُ أتكلَّمُ عن اليهودِ ولا النصارى، وإنما عمَّن يقولُ: لا إلهَ إلا اللهُ محمدٌ رسولُ الله.</w:t>
      </w:r>
    </w:p>
    <w:p>
      <w:pPr>
        <w:spacing w:after="140" w:line="340" w:lineRule="auto"/>
        <w:jc w:val="both"/>
      </w:pPr>
      <w:r>
        <w:rPr>
          <w:color w:val="1A1A1A"/>
          <w:sz w:val="36"/>
          <w:szCs w:val="36"/>
        </w:rPr>
        <w:t xml:space="preserve">**وقبل أن أشرَعَ، أُقرِّرُ أصلًا لا بدَّ منه:** أنّ فرقًا بين الحكمِ على القولِ أو الفعلِ بأنه كفر، وبين الحكمِ على القائلِ المعيَّنِ بأنه كافر. فالأولُ حكمٌ شرعيٌّ عامٌّ يُقرَّرُ في مجالسِ العلم؛ وأمّا الثاني فلا يكونُ إلا بعد قيامِ الحُجَّةِ وانتفاءِ الموانعِ من جهلٍ أو تأويلٍ أو إكراهٍ أو خطأ، ومَرَدُّه إلى أهلِ العلمِ والقضاء، لا إلى آحادِ الناس. وقد حذَّرَ النبيُّ ﷺ أشدَّ التحذيرِ من التسرُّعِ في هذا فقال:</w:t>
      </w:r>
    </w:p>
    <w:p>
      <w:pPr>
        <w:pBdr>
          <w:right w:val="single" w:sz="12" w:space="10" w:color="8A6A1F"/>
        </w:pBdr>
        <w:spacing w:before="120" w:after="160" w:line="320" w:lineRule="auto"/>
        <w:ind w:left="504" w:right="504"/>
        <w:jc w:val="both"/>
      </w:pPr>
      <w:r>
        <w:rPr>
          <w:b/>
          <w:bCs/>
          <w:color w:val="1F5C3A"/>
          <w:sz w:val="36"/>
          <w:szCs w:val="36"/>
        </w:rPr>
        <w:t xml:space="preserve">«أيُّما امرئٍ قال لأخيه: يا كافر، فقد باءَ بها أحدُهما»</w:t>
      </w:r>
      <w:r>
        <w:rPr>
          <w:rStyle w:val="a5"/>
          <w:sz w:val="36"/>
          <w:szCs w:val="36"/>
        </w:rPr>
        <w:footnoteReference w:id="1"/>
      </w:r>
    </w:p>
    <w:p>
      <w:pPr>
        <w:spacing w:after="140" w:line="340" w:lineRule="auto"/>
        <w:jc w:val="both"/>
      </w:pPr>
      <w:r>
        <w:rPr>
          <w:color w:val="1A1A1A"/>
          <w:sz w:val="36"/>
          <w:szCs w:val="36"/>
        </w:rPr>
        <w:t xml:space="preserve">فاحفَظْ هذا الأصلَ وأنت تسمعُ ما يأتي.</w:t>
      </w:r>
    </w:p>
    <w:p>
      <w:pPr>
        <w:spacing w:before="260" w:after="120"/>
      </w:pPr>
      <w:r>
        <w:rPr>
          <w:b/>
          <w:bCs/>
          <w:color w:val="1F5C3A"/>
          <w:sz w:val="36"/>
          <w:szCs w:val="36"/>
        </w:rPr>
        <w:t xml:space="preserve">أولًا: سبُّ اللهِ وسبُّ الدين</w:t>
      </w:r>
    </w:p>
    <w:p>
      <w:pPr>
        <w:spacing w:after="140" w:line="340" w:lineRule="auto"/>
        <w:jc w:val="both"/>
      </w:pPr>
      <w:r>
        <w:rPr>
          <w:color w:val="1A1A1A"/>
          <w:sz w:val="36"/>
          <w:szCs w:val="36"/>
        </w:rPr>
        <w:t xml:space="preserve">وهو أوَّلُ هذه المظاهرِ وأخطرُها. لا يكادُ يمُرُّ بك يومٌ إلا وتسمعُ من يسُبُّ اللهَ أو يسُبُّ الدينَ عند أدنى غضبٍ أو في هَزْلٍ ولعِب!</w:t>
      </w:r>
    </w:p>
    <w:p>
      <w:pPr>
        <w:spacing w:after="140" w:line="340" w:lineRule="auto"/>
        <w:jc w:val="both"/>
      </w:pPr>
      <w:r>
        <w:rPr>
          <w:color w:val="1A1A1A"/>
          <w:sz w:val="36"/>
          <w:szCs w:val="36"/>
        </w:rPr>
        <w:t xml:space="preserve">فاعلَمْ يا مسلمُ أنّ سبَّ اللهِ وسبَّ دينِه كفرٌ بإجماعِ أهلِ العلم، وأنّ الهَزلَ في ذلك لا يُعذَرُ به صاحبُه؛ قال تعالى في المُستهزِئين: </w:t>
      </w:r>
      <w:r>
        <w:rPr>
          <w:b/>
          <w:bCs/>
          <w:color w:val="8A6A1F"/>
          <w:sz w:val="36"/>
          <w:szCs w:val="36"/>
        </w:rPr>
        <w:t xml:space="preserve">﴿قُلْ أَبِاللَّهِ وَآيَاتِهِ وَرَسُولِهِ كُنتُمْ تَسْتَهْزِئُونَ ۝ لَا تَعْتَذِرُوا قَدْ كَفَرْتُم بَعْدَ إِيمَانِكُمْ﴾</w:t>
      </w:r>
      <w:r>
        <w:rPr>
          <w:color w:val="1A1A1A"/>
          <w:sz w:val="36"/>
          <w:szCs w:val="36"/>
        </w:rPr>
        <w:t xml:space="preserve">.</w:t>
      </w:r>
    </w:p>
    <w:p>
      <w:pPr>
        <w:spacing w:after="140" w:line="340" w:lineRule="auto"/>
        <w:jc w:val="both"/>
      </w:pPr>
      <w:r>
        <w:rPr>
          <w:color w:val="1A1A1A"/>
          <w:sz w:val="36"/>
          <w:szCs w:val="36"/>
        </w:rPr>
        <w:t xml:space="preserve">وإذا كان اللهُ قد قال في نسبةِ الولدِ إليه:</w:t>
      </w:r>
    </w:p>
    <w:p>
      <w:pPr>
        <w:pBdr>
          <w:right w:val="single" w:sz="12" w:space="10" w:color="8A6A1F"/>
        </w:pBdr>
        <w:spacing w:before="120" w:after="160" w:line="320" w:lineRule="auto"/>
        <w:ind w:left="504" w:right="504"/>
        <w:jc w:val="both"/>
      </w:pPr>
      <w:r>
        <w:rPr>
          <w:b/>
          <w:bCs/>
          <w:color w:val="8A6A1F"/>
          <w:sz w:val="36"/>
          <w:szCs w:val="36"/>
        </w:rPr>
        <w:t xml:space="preserve">﴿تَكَادُ السَّمَاوَاتُ يَتَفَطَّرْنَ مِنْهُ وَتَنشَقُّ الْأَرْضُ وَتَخِرُّ الْجِبَالُ هَدًّا ۝ أَن دَعَوْا لِلرَّحْمَٰنِ وَلَدًا﴾</w:t>
      </w:r>
    </w:p>
    <w:p>
      <w:pPr>
        <w:spacing w:after="140" w:line="340" w:lineRule="auto"/>
        <w:jc w:val="both"/>
      </w:pPr>
      <w:r>
        <w:rPr>
          <w:color w:val="1A1A1A"/>
          <w:sz w:val="36"/>
          <w:szCs w:val="36"/>
        </w:rPr>
        <w:t xml:space="preserve">فكيف بمن يسُبُّ الرحمن؟! فنحن نحتاجُ إلى تجديدِ تعظيمِنا لله. فاحذَرْ أن يتربّى ولدُك على هذا؛ عظِّمِ اللهَ في قلبِه، ولا تَسكُتْ عمَّن يسُبُّه كائنًا من كان.</w:t>
      </w:r>
    </w:p>
    <w:p>
      <w:pPr>
        <w:spacing w:after="140" w:line="340" w:lineRule="auto"/>
        <w:jc w:val="both"/>
      </w:pPr>
      <w:r>
        <w:rPr>
          <w:color w:val="1A1A1A"/>
          <w:sz w:val="36"/>
          <w:szCs w:val="36"/>
        </w:rPr>
        <w:t xml:space="preserve">وأمّا الحكمُ على من وقعَ في ذلك بعينِه، وما يترتَّبُ عليه في نكاحِه وغيرِه ـ فمسألةٌ قضائيةٌ يُرجَعُ فيها إلى أهلِ الفتوى والقضاء، ولا يستقِلُّ بها أحدٌ من الناس.</w:t>
      </w:r>
    </w:p>
    <w:p>
      <w:pPr>
        <w:spacing w:before="260" w:after="120"/>
      </w:pPr>
      <w:r>
        <w:rPr>
          <w:b/>
          <w:bCs/>
          <w:color w:val="1F5C3A"/>
          <w:sz w:val="36"/>
          <w:szCs w:val="36"/>
        </w:rPr>
        <w:t xml:space="preserve">ثانيًا: السِّحرُ وإتيانُ الكُهّانِ والعرّافين</w:t>
      </w:r>
    </w:p>
    <w:p>
      <w:pPr>
        <w:spacing w:after="140" w:line="340" w:lineRule="auto"/>
        <w:jc w:val="both"/>
      </w:pPr>
      <w:r>
        <w:rPr>
          <w:color w:val="1A1A1A"/>
          <w:sz w:val="36"/>
          <w:szCs w:val="36"/>
        </w:rPr>
        <w:t xml:space="preserve">فالسحرُ ـ في حقيقتِه ـ عقدٌ بين الساحرِ والشيطان، ولا يُنفِّذُ الشيطانُ ما يطلُبُه الساحرُ حتى يأتيَ ما يُرضيه من الكفرِ والشرك. قال تعالى: </w:t>
      </w:r>
      <w:r>
        <w:rPr>
          <w:b/>
          <w:bCs/>
          <w:color w:val="8A6A1F"/>
          <w:sz w:val="36"/>
          <w:szCs w:val="36"/>
        </w:rPr>
        <w:t xml:space="preserve">﴿وَمَا كَفَرَ سُلَيْمَانُ وَلَٰكِنَّ الشَّيَاطِينَ كَفَرُوا يُعَلِّمُونَ النَّاسَ السِّحْرَ﴾</w:t>
      </w:r>
      <w:r>
        <w:rPr>
          <w:color w:val="1A1A1A"/>
          <w:sz w:val="36"/>
          <w:szCs w:val="36"/>
        </w:rPr>
        <w:t xml:space="preserve">، وقال: </w:t>
      </w:r>
      <w:r>
        <w:rPr>
          <w:b/>
          <w:bCs/>
          <w:color w:val="8A6A1F"/>
          <w:sz w:val="36"/>
          <w:szCs w:val="36"/>
        </w:rPr>
        <w:t xml:space="preserve">﴿وَلَقَدْ عَلِمُوا لَمَنِ اشْتَرَاهُ مَا لَهُ فِي الْآخِرَةِ مِنْ خَلَاقٍ﴾</w:t>
      </w:r>
      <w:r>
        <w:rPr>
          <w:color w:val="1A1A1A"/>
          <w:sz w:val="36"/>
          <w:szCs w:val="36"/>
        </w:rPr>
        <w:t xml:space="preserve">. وفسَّرَ عمرُ ﵁ </w:t>
      </w:r>
      <w:r>
        <w:rPr>
          <w:b/>
          <w:bCs/>
          <w:color w:val="1F5C3A"/>
          <w:sz w:val="36"/>
          <w:szCs w:val="36"/>
        </w:rPr>
        <w:t xml:space="preserve">«الجِبْتَ»</w:t>
      </w:r>
      <w:r>
        <w:rPr>
          <w:color w:val="1A1A1A"/>
          <w:sz w:val="36"/>
          <w:szCs w:val="36"/>
        </w:rPr>
        <w:t xml:space="preserve"> بالسحر.</w:t>
      </w:r>
      <w:r>
        <w:rPr>
          <w:rStyle w:val="a5"/>
          <w:sz w:val="36"/>
          <w:szCs w:val="36"/>
        </w:rPr>
        <w:footnoteReference w:id="2"/>
      </w:r>
    </w:p>
    <w:p>
      <w:pPr>
        <w:spacing w:after="140" w:line="340" w:lineRule="auto"/>
        <w:jc w:val="both"/>
      </w:pPr>
      <w:r>
        <w:rPr>
          <w:color w:val="1A1A1A"/>
          <w:sz w:val="36"/>
          <w:szCs w:val="36"/>
        </w:rPr>
        <w:t xml:space="preserve">ويدخُلُ في هذا البابِ: التنجيمُ وقراءةُ الحظِّ والأبراج، والنظرُ في الفنجانِ والكفِّ والخطِّ على الرمل؛ قال ﷺ:</w:t>
      </w:r>
    </w:p>
    <w:p>
      <w:pPr>
        <w:pBdr>
          <w:right w:val="single" w:sz="12" w:space="10" w:color="8A6A1F"/>
        </w:pBdr>
        <w:spacing w:before="120" w:after="160" w:line="320" w:lineRule="auto"/>
        <w:ind w:left="504" w:right="504"/>
        <w:jc w:val="both"/>
      </w:pPr>
      <w:r>
        <w:rPr>
          <w:b/>
          <w:bCs/>
          <w:color w:val="1F5C3A"/>
          <w:sz w:val="36"/>
          <w:szCs w:val="36"/>
        </w:rPr>
        <w:t xml:space="preserve">«مَن اقتبسَ عِلمًا من النجومِ اقتبسَ شُعبةً من السِّحرِ زادَ ما زاد»</w:t>
      </w:r>
      <w:r>
        <w:rPr>
          <w:rStyle w:val="a5"/>
          <w:sz w:val="36"/>
          <w:szCs w:val="36"/>
        </w:rPr>
        <w:footnoteReference w:id="3"/>
      </w:r>
    </w:p>
    <w:p>
      <w:pPr>
        <w:spacing w:after="140" w:line="340" w:lineRule="auto"/>
        <w:jc w:val="both"/>
      </w:pPr>
      <w:r>
        <w:rPr>
          <w:color w:val="1A1A1A"/>
          <w:sz w:val="36"/>
          <w:szCs w:val="36"/>
        </w:rPr>
        <w:t xml:space="preserve">واسمَعْ ـ يا من ابتلاك اللهُ بمصيبة ـ الحذَرَ من الدُّنُوِّ من هؤلاء؛ قال ﷺ:</w:t>
      </w:r>
    </w:p>
    <w:p>
      <w:pPr>
        <w:pBdr>
          <w:right w:val="single" w:sz="12" w:space="10" w:color="8A6A1F"/>
        </w:pBdr>
        <w:spacing w:before="120" w:after="160" w:line="320" w:lineRule="auto"/>
        <w:ind w:left="504" w:right="504"/>
        <w:jc w:val="both"/>
      </w:pPr>
      <w:r>
        <w:rPr>
          <w:b/>
          <w:bCs/>
          <w:color w:val="1F5C3A"/>
          <w:sz w:val="36"/>
          <w:szCs w:val="36"/>
        </w:rPr>
        <w:t xml:space="preserve">«مَن أتى عرّافًا فسألَه عن شيءٍ لم تُقبَلْ له صلاةٌ أربعينَ ليلة»</w:t>
      </w:r>
      <w:r>
        <w:rPr>
          <w:rStyle w:val="a5"/>
          <w:sz w:val="36"/>
          <w:szCs w:val="36"/>
        </w:rPr>
        <w:footnoteReference w:id="4"/>
      </w:r>
    </w:p>
    <w:p>
      <w:pPr>
        <w:spacing w:after="140" w:line="340" w:lineRule="auto"/>
        <w:jc w:val="both"/>
      </w:pPr>
      <w:r>
        <w:rPr>
          <w:color w:val="1A1A1A"/>
          <w:sz w:val="36"/>
          <w:szCs w:val="36"/>
        </w:rPr>
        <w:t xml:space="preserve">هذا لمُجرَّدِ السؤال. وأمّا التصديقُ فقال فيه ﷺ:</w:t>
      </w:r>
    </w:p>
    <w:p>
      <w:pPr>
        <w:pBdr>
          <w:right w:val="single" w:sz="12" w:space="10" w:color="8A6A1F"/>
        </w:pBdr>
        <w:spacing w:before="120" w:after="160" w:line="320" w:lineRule="auto"/>
        <w:ind w:left="504" w:right="504"/>
        <w:jc w:val="both"/>
      </w:pPr>
      <w:r>
        <w:rPr>
          <w:b/>
          <w:bCs/>
          <w:color w:val="1F5C3A"/>
          <w:sz w:val="36"/>
          <w:szCs w:val="36"/>
        </w:rPr>
        <w:t xml:space="preserve">«مَن أتى كاهنًا فصدَّقَه بما يقول، فقد كفرَ بما أُنزِلَ على محمدٍ ﷺ»</w:t>
      </w:r>
      <w:r>
        <w:rPr>
          <w:rStyle w:val="a5"/>
          <w:sz w:val="36"/>
          <w:szCs w:val="36"/>
        </w:rPr>
        <w:footnoteReference w:id="5"/>
      </w:r>
    </w:p>
    <w:p>
      <w:pPr>
        <w:spacing w:after="140" w:line="340" w:lineRule="auto"/>
        <w:jc w:val="both"/>
      </w:pPr>
      <w:r>
        <w:rPr>
          <w:color w:val="1A1A1A"/>
          <w:sz w:val="36"/>
          <w:szCs w:val="36"/>
        </w:rPr>
        <w:t xml:space="preserve">والحذَرَ الحذَرَ من هذه الأبواب؛ فإنّ ضَعفَ طرحِ التوحيدِ يجعلُ لأمثالِ هؤلاء مَساحة. ادخُلْ على أيِّ تطبيقٍ واكتُبْ </w:t>
      </w:r>
      <w:r>
        <w:rPr>
          <w:b/>
          <w:bCs/>
          <w:color w:val="1F5C3A"/>
          <w:sz w:val="36"/>
          <w:szCs w:val="36"/>
        </w:rPr>
        <w:t xml:space="preserve">«شيخ روحاني»</w:t>
      </w:r>
      <w:r>
        <w:rPr>
          <w:color w:val="1A1A1A"/>
          <w:sz w:val="36"/>
          <w:szCs w:val="36"/>
        </w:rPr>
        <w:t xml:space="preserve"> وانظُرْ ما تجِد!</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ثالثًا: إهانةُ ما فيه اسمُ اللهِ من المصحفِ وغيرِه</w:t>
      </w:r>
    </w:p>
    <w:p>
      <w:pPr>
        <w:spacing w:after="140" w:line="340" w:lineRule="auto"/>
        <w:jc w:val="both"/>
      </w:pPr>
      <w:r>
        <w:rPr>
          <w:color w:val="1A1A1A"/>
          <w:sz w:val="36"/>
          <w:szCs w:val="36"/>
        </w:rPr>
        <w:t xml:space="preserve">فإنّ من تعمَّدَ إهانةَ المصحفِ أو ما فيه اسمُ اللهِ ـ استخفافًا واستهزاءً ـ فقد أتى أمرًا عظيمًا، عدَّه أهلُ العلمِ من نواقضِ الإسلام؛ لأنّ مَبناه على الاستهانةِ بالمُعظَّم.</w:t>
      </w:r>
    </w:p>
    <w:p>
      <w:pPr>
        <w:spacing w:after="140" w:line="340" w:lineRule="auto"/>
        <w:jc w:val="both"/>
      </w:pPr>
      <w:r>
        <w:rPr>
          <w:color w:val="1A1A1A"/>
          <w:sz w:val="36"/>
          <w:szCs w:val="36"/>
        </w:rPr>
        <w:t xml:space="preserve">وأمّا مجرَّدُ الإهمالِ والتقصيرِ من غيرِ قصدِ الاستخفاف ـ كأن تُلقى أوراقٌ فيها اسمُ اللهِ في مكانٍ غيرِ لائقٍ غفلةً أو تفريطًا ـ فهذا ذنبٌ وتقصيرٌ عظيم يجبُ التوبةُ منه وصيانةُ ما فيه اسمُ الله، وليس هو كالأوَّلِ في الحُكم. **فتنبَّهْ:** فقد يُنقَلُ عن بعضِ أهلِ العلمِ عباراتٌ مُطلَقةٌ في هذا البابِ لا تصِحُّ على إطلاقِها، ولا يجوزُ أن يُبنى عليها تكفيرُ مسلمٍ بعينِه؛ فإنّ التكفيرَ حكمٌ لا يُتساهَلُ فيه.</w:t>
      </w:r>
    </w:p>
    <w:p>
      <w:pPr>
        <w:spacing w:after="140" w:line="340" w:lineRule="auto"/>
        <w:jc w:val="both"/>
      </w:pPr>
      <w:r>
        <w:rPr>
          <w:color w:val="1A1A1A"/>
          <w:sz w:val="36"/>
          <w:szCs w:val="36"/>
        </w:rPr>
        <w:t xml:space="preserve">والمقصودُ ـ يا كرام ـ أنّ الواجبَ صيانةُ كلامِ اللهِ وتعظيمُه. وكم مرَّةٍ رأينا أوراقًا فيها آياتٌ مُلقاةً بجانبِ النفايات! فأينَ نحن ممَّن ابتُليَ في سبيلِ تعظيمِ كلامِ اللهِ وصيانتِه عن أن يُقالَ إنه مخلوق؟</w:t>
      </w:r>
    </w:p>
    <w:p>
      <w:pPr>
        <w:spacing w:after="140" w:line="340" w:lineRule="auto"/>
        <w:jc w:val="both"/>
      </w:pPr>
      <w:r>
        <w:rPr>
          <w:color w:val="1A1A1A"/>
          <w:sz w:val="36"/>
          <w:szCs w:val="36"/>
        </w:rPr>
        <w:t xml:space="preserve">ونحن نعيشُ في زمانٍ لا يُعظَّمُ فيه اللهُ حقَّ تعظيمِه. وقد جاء أنّ رجلًا قال: يا رسولَ الله، نستشفِعُ باللهِ عليك وبك على الله! فقال ﷺ:</w:t>
      </w:r>
    </w:p>
    <w:p>
      <w:pPr>
        <w:pBdr>
          <w:right w:val="single" w:sz="12" w:space="10" w:color="8A6A1F"/>
        </w:pBdr>
        <w:spacing w:before="120" w:after="160" w:line="320" w:lineRule="auto"/>
        <w:ind w:left="504" w:right="504"/>
        <w:jc w:val="both"/>
      </w:pPr>
      <w:r>
        <w:rPr>
          <w:b/>
          <w:bCs/>
          <w:color w:val="1F5C3A"/>
          <w:sz w:val="36"/>
          <w:szCs w:val="36"/>
        </w:rPr>
        <w:t xml:space="preserve">«سبحانَ الله! سبحانَ الله! ... ويحَك! أتدري ما الله؟ إنّ شأنَ اللهِ أعظمُ من ذلك»</w:t>
      </w:r>
      <w:r>
        <w:rPr>
          <w:rStyle w:val="a5"/>
          <w:sz w:val="36"/>
          <w:szCs w:val="36"/>
        </w:rPr>
        <w:footnoteReference w:id="6"/>
      </w:r>
    </w:p>
    <w:p>
      <w:pPr>
        <w:spacing w:before="200" w:after="100"/>
      </w:pPr>
      <w:r>
        <w:rPr>
          <w:b/>
          <w:bCs/>
          <w:color w:val="1A1A1A"/>
          <w:sz w:val="36"/>
          <w:szCs w:val="36"/>
        </w:rPr>
        <w:t xml:space="preserve">أثرٌ في تعظيمِ اسمِ الله</w:t>
      </w:r>
    </w:p>
    <w:p>
      <w:pPr>
        <w:spacing w:after="140" w:line="340" w:lineRule="auto"/>
        <w:jc w:val="both"/>
      </w:pPr>
      <w:r>
        <w:rPr>
          <w:color w:val="1A1A1A"/>
          <w:sz w:val="36"/>
          <w:szCs w:val="36"/>
        </w:rPr>
        <w:t xml:space="preserve">وفي تاريخِ أمَّتِنا رجلٌ اسمُه **بِشْرٌ الحافي** ـ بِشرُ بنُ الحارثِ ـ صارَ عَلَمًا من أعلامِ الزهدِ والعبادة. ويُروى أنه سُئِلَ: بمَ نِلتَ هذا؟ فقال: لا أعلمُ إلا أني كنتُ في طريقٍ فوجدتُ رُقعةً فيها اسمُ الله، فرفعتُها وطيَّبتُها ووضعتُها في مكانٍ طاهر؛ فسمِعتُ في منامي: طيَّبتَ اسمَنا لَنُطيِّبَنَّ اسمَك في الدنيا والآخرة.</w:t>
      </w:r>
      <w:r>
        <w:rPr>
          <w:rStyle w:val="a5"/>
          <w:sz w:val="36"/>
          <w:szCs w:val="36"/>
        </w:rPr>
        <w:footnoteReference w:id="7"/>
      </w:r>
    </w:p>
    <w:p>
      <w:pPr>
        <w:spacing w:after="140" w:line="340" w:lineRule="auto"/>
        <w:jc w:val="both"/>
      </w:pPr>
      <w:r>
        <w:rPr>
          <w:color w:val="1A1A1A"/>
          <w:sz w:val="36"/>
          <w:szCs w:val="36"/>
        </w:rPr>
        <w:t xml:space="preserve">فمن رامَ أن يُرفَعَ ذِكرُه فليُعظِّمِ اسمَ ربِّه.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بمنِّه وكرمِه أن يجعلني وإياكم ممَّن يُعظِّمون اللهَ حقَّ تعظيمِه، وممَّن يُحقِّقون له توحيدَه وتنزيهَه؛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 إنك على كلِّ شيءٍ قدير.</w:t>
      </w:r>
    </w:p>
    <w:p>
      <w:pPr>
        <w:spacing w:after="140" w:line="340" w:lineRule="auto"/>
        <w:jc w:val="both"/>
      </w:pPr>
      <w:r>
        <w:rPr>
          <w:color w:val="1A1A1A"/>
          <w:sz w:val="36"/>
          <w:szCs w:val="36"/>
        </w:rPr>
        <w:t xml:space="preserve">اللهم كُنْ مع إخوانِنا المستضعَفين، وآمِنْ رَوعاتِهم، واستُرْ عَوراتِهم، وفرِّجْ كُرَبَهم. اللهم مُنزِلَ الكتاب، مُجرِيَ السحاب، هازمَ الأحزاب: اهزِمْ من اعتدى عليهم وانصُرْنا عليهم.</w:t>
      </w:r>
      <w:r>
        <w:rPr>
          <w:rStyle w:val="a5"/>
          <w:sz w:val="36"/>
          <w:szCs w:val="36"/>
        </w:rPr>
        <w:footnoteReference w:id="8"/>
      </w:r>
      <w:r>
        <w:rPr>
          <w:color w:val="1A1A1A"/>
          <w:sz w:val="36"/>
          <w:szCs w:val="36"/>
        </w:rPr>
        <w:t xml:space="preserve"> وآخِرُ دعوانا أنِ الحمدُ للهِ ربِّ العالمين، وصلَّى اللهُ وسلَّمَ على عبدِه ونبيِّه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عمر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في تفسيرِ ﴿يُؤْمِنُونَ بِالْجِبْتِ وَالطَّاغُوتِ﴾؛ أخرجه الطبريُّ في «تفسيره».</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وابنُ ماجه من حديث ابن عباس ﵄،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بعضِ أزواجِ النبيِّ ﷺ.</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أبي هريرة ﵁، وصححه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من حديث جُبيرِ بنِ مُطعِمٍ ﵁، وفي إسنادِه مقال؛ وقد حسَّنَه بعضُ أهلِ العلمِ لشواهدِه، ومعناه ثابتٌ بأدلَّةِ تعظيمِ اللهِ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بِشرٍ الحافيِّ ﵀؛ ذكرَها أبو نُعيمٍ في «الحلية» والخطيبُ في «تاريخ بغداد»، وهي من حكاياتِ الزهدِ التي تُذكَرُ للاعتبار.</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 في دعائه ﷺ على الأحزاب.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