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ذنوبُ الفَرْج</w:t>
      </w:r>
    </w:p>
    <w:p>
      <w:pPr>
        <w:spacing w:after="120"/>
      </w:pPr>
      <w:r>
        <w:rPr>
          <w:color w:val="8A6A1F"/>
          <w:sz w:val="36"/>
          <w:szCs w:val="36"/>
        </w:rPr>
        <w:t xml:space="preserve">الزنا: آثارُه في الدنيا والآخرة، وسُبُلُ عِلاجِه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وأشهدُ أن لا إلهَ إلا اللهُ وحدَه لا شريكَ له، وأشهدُ أنّ محمدًا عبدُه ورسولُه ﷺ. أمّا بعدُ، فإنّ أصدقَ الحديثِ كتابُ الله، وخيرَ الهَديِ هَديُ محمدٍ ﷺ، وشرَّ الأمورِ مُحدَثاتُها.</w:t>
      </w:r>
    </w:p>
    <w:p>
      <w:pPr>
        <w:spacing w:before="260" w:after="120"/>
      </w:pPr>
      <w:r>
        <w:rPr>
          <w:b/>
          <w:bCs/>
          <w:color w:val="1F5C3A"/>
          <w:sz w:val="36"/>
          <w:szCs w:val="36"/>
        </w:rPr>
        <w:t xml:space="preserve">تمهيد</w:t>
      </w:r>
    </w:p>
    <w:p>
      <w:pPr>
        <w:spacing w:after="140" w:line="340" w:lineRule="auto"/>
        <w:jc w:val="both"/>
      </w:pPr>
      <w:r>
        <w:rPr>
          <w:color w:val="1A1A1A"/>
          <w:sz w:val="36"/>
          <w:szCs w:val="36"/>
        </w:rPr>
        <w:t xml:space="preserve">وبعدُ، أحبَّتي في الله: جريمةٌ تشمئِزُّ منها النفوس، وفاحشةٌ كُبرى؛ كانت العربُ في جاهليَّتِها تأنَفُ منها. وقد فشَتْ في زمانِنا وانتشرَتْ حتى لا تستبعِدَ أن يُعرَضَ الحرامُ الصريحُ في جوّالِك وأنت تستمِعُ إلى القرآن!</w:t>
      </w:r>
    </w:p>
    <w:p>
      <w:pPr>
        <w:spacing w:after="140" w:line="340" w:lineRule="auto"/>
        <w:jc w:val="both"/>
      </w:pPr>
      <w:r>
        <w:rPr>
          <w:color w:val="1A1A1A"/>
          <w:sz w:val="36"/>
          <w:szCs w:val="36"/>
        </w:rPr>
        <w:t xml:space="preserve">فلِمَ هذا التساهُل؟ أقول: لأننا نجهَلُ آثارَه. فأَرْعِني قلبَك.</w:t>
      </w:r>
    </w:p>
    <w:p>
      <w:pPr>
        <w:spacing w:after="140" w:line="340" w:lineRule="auto"/>
        <w:jc w:val="both"/>
      </w:pPr>
      <w:r>
        <w:rPr>
          <w:color w:val="1A1A1A"/>
          <w:sz w:val="36"/>
          <w:szCs w:val="36"/>
        </w:rPr>
        <w:t xml:space="preserve">**وقبل ذلك:** اعلَمْ أنّ ما دون الفاحشةِ الكُبرى داخلٌ في هذا الباب؛ قال ﷺ:</w:t>
      </w:r>
    </w:p>
    <w:p>
      <w:pPr>
        <w:pBdr>
          <w:right w:val="single" w:sz="12" w:space="10" w:color="8A6A1F"/>
        </w:pBdr>
        <w:spacing w:before="120" w:after="160" w:line="320" w:lineRule="auto"/>
        <w:ind w:left="504" w:right="504"/>
        <w:jc w:val="both"/>
      </w:pPr>
      <w:r>
        <w:rPr>
          <w:b/>
          <w:bCs/>
          <w:color w:val="1F5C3A"/>
          <w:sz w:val="36"/>
          <w:szCs w:val="36"/>
        </w:rPr>
        <w:t xml:space="preserve">«كُتِبَ على ابنِ آدمَ نَصيبُه من الزنا مُدرِكٌ ذلك لا محالة: فالعينانِ زناهما النظر، والأذُنانِ زناهما الاستماع، واللسانُ زناه الكلام، واليدُ زناها البَطش، والرِّجلُ زناها الخُطا، والقلبُ يهوى ويتمنّى؛ ويُصدِّقُ ذلك الفَرْجُ أو يُكذِّبُه»</w:t>
      </w:r>
      <w:r>
        <w:rPr>
          <w:rStyle w:val="a5"/>
          <w:sz w:val="36"/>
          <w:szCs w:val="36"/>
        </w:rPr>
        <w:footnoteReference w:id="1"/>
      </w:r>
    </w:p>
    <w:p>
      <w:pPr>
        <w:spacing w:before="260" w:after="120"/>
      </w:pPr>
      <w:r>
        <w:rPr>
          <w:b/>
          <w:bCs/>
          <w:color w:val="1F5C3A"/>
          <w:sz w:val="36"/>
          <w:szCs w:val="36"/>
        </w:rPr>
        <w:t xml:space="preserve">أولًا: آثارُه في الدنيا</w:t>
      </w:r>
    </w:p>
    <w:p>
      <w:pPr>
        <w:spacing w:before="200" w:after="100"/>
      </w:pPr>
      <w:r>
        <w:rPr>
          <w:b/>
          <w:bCs/>
          <w:color w:val="1A1A1A"/>
          <w:sz w:val="36"/>
          <w:szCs w:val="36"/>
        </w:rPr>
        <w:t xml:space="preserve">١) سَلْبُ كمالِ الإيمان</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«لا يَزني الزاني حين يَزني وهو مؤمن»</w:t>
      </w:r>
      <w:r>
        <w:rPr>
          <w:rStyle w:val="a5"/>
          <w:sz w:val="36"/>
          <w:szCs w:val="36"/>
        </w:rPr>
        <w:footnoteReference w:id="2"/>
      </w:r>
    </w:p>
    <w:p>
      <w:pPr>
        <w:spacing w:after="140" w:line="340" w:lineRule="auto"/>
        <w:jc w:val="both"/>
      </w:pPr>
      <w:r>
        <w:rPr>
          <w:color w:val="1A1A1A"/>
          <w:sz w:val="36"/>
          <w:szCs w:val="36"/>
        </w:rPr>
        <w:t xml:space="preserve">فأَتُحِبُّ أن يُنزَعَ عنك اسمُ الإيمان؟!</w:t>
      </w:r>
    </w:p>
    <w:p>
      <w:pPr>
        <w:spacing w:before="200" w:after="100"/>
      </w:pPr>
      <w:r>
        <w:rPr>
          <w:b/>
          <w:bCs/>
          <w:color w:val="1A1A1A"/>
          <w:sz w:val="36"/>
          <w:szCs w:val="36"/>
        </w:rPr>
        <w:t xml:space="preserve">٢) الحدُّ المُقدَّرُ في الشريعة</w:t>
      </w:r>
    </w:p>
    <w:p>
      <w:pPr>
        <w:spacing w:after="140" w:line="340" w:lineRule="auto"/>
        <w:jc w:val="both"/>
      </w:pPr>
      <w:r>
        <w:rPr>
          <w:color w:val="1A1A1A"/>
          <w:sz w:val="36"/>
          <w:szCs w:val="36"/>
        </w:rPr>
        <w:t xml:space="preserve">قال تعالى: </w:t>
      </w:r>
      <w:r>
        <w:rPr>
          <w:b/>
          <w:bCs/>
          <w:color w:val="8A6A1F"/>
          <w:sz w:val="36"/>
          <w:szCs w:val="36"/>
        </w:rPr>
        <w:t xml:space="preserve">﴿الزَّانِيَةُ وَالزَّانِي فَاجْلِدُوا كُلَّ وَاحِدٍ مِّنْهُمَا مِائَةَ جَلْدَةٍ ۖ وَلَا تَأْخُذْكُم بِهِمَا رَأْفَةٌ فِي دِينِ اللَّهِ﴾</w:t>
      </w:r>
      <w:r>
        <w:rPr>
          <w:color w:val="1A1A1A"/>
          <w:sz w:val="36"/>
          <w:szCs w:val="36"/>
        </w:rPr>
        <w:t xml:space="preserve">؛ وثبتَ في السنَّةِ **جَلدُ البِكرِ وتغريبُ عام**، وأمّا الثيِّبُ فحُكمُه أشدّ؛ قال ﷺ:</w:t>
      </w:r>
    </w:p>
    <w:p>
      <w:pPr>
        <w:pBdr>
          <w:right w:val="single" w:sz="12" w:space="10" w:color="8A6A1F"/>
        </w:pBdr>
        <w:spacing w:before="120" w:after="160" w:line="320" w:lineRule="auto"/>
        <w:ind w:left="504" w:right="504"/>
        <w:jc w:val="both"/>
      </w:pPr>
      <w:r>
        <w:rPr>
          <w:b/>
          <w:bCs/>
          <w:color w:val="1F5C3A"/>
          <w:sz w:val="36"/>
          <w:szCs w:val="36"/>
        </w:rPr>
        <w:t xml:space="preserve">«لا يَحِلُّ دمُ امرئٍ مسلمٍ إلا بإحدى ثلاث: الثيِّبُ الزاني، والنفسُ بالنفس، والتاركُ لدينِه المُفارِقُ للجماعة»</w:t>
      </w:r>
      <w:r>
        <w:rPr>
          <w:rStyle w:val="a5"/>
          <w:sz w:val="36"/>
          <w:szCs w:val="36"/>
        </w:rPr>
        <w:footnoteReference w:id="3"/>
      </w:r>
    </w:p>
    <w:p>
      <w:pPr>
        <w:spacing w:after="140" w:line="340" w:lineRule="auto"/>
        <w:jc w:val="both"/>
      </w:pPr>
      <w:r>
        <w:rPr>
          <w:color w:val="1A1A1A"/>
          <w:sz w:val="36"/>
          <w:szCs w:val="36"/>
        </w:rPr>
        <w:t xml:space="preserve">**وأُشدِّدُ على ما نبَّهتُ عليه:** هذه حدودٌ **لا يُقيمُها إلا وليُّ الأمرِ عبرَ قضائِه**، بشروطٍ في الإثباتِ تكادُ تمتنِع؛ وليس لي ولا لك أن نستبيحَ دمَ أحدٍ أو نُقيمَ عليه حدًّا بحال. **والحدودُ تُدرَأُ بالشُّبُهات**؛ وإنما ذَكَرْتُها زَجرًا وتخويفًا وبيانًا لعِظَمِ الجُرمِ عند الله.</w:t>
      </w:r>
    </w:p>
    <w:p>
      <w:pPr>
        <w:spacing w:before="200" w:after="100"/>
      </w:pPr>
      <w:r>
        <w:rPr>
          <w:b/>
          <w:bCs/>
          <w:color w:val="1A1A1A"/>
          <w:sz w:val="36"/>
          <w:szCs w:val="36"/>
        </w:rPr>
        <w:t xml:space="preserve">٣) حِرمانُ إجابةِ الدعاء</w:t>
      </w:r>
    </w:p>
    <w:p>
      <w:pPr>
        <w:spacing w:after="140" w:line="340" w:lineRule="auto"/>
        <w:jc w:val="both"/>
      </w:pPr>
      <w:r>
        <w:rPr>
          <w:color w:val="1A1A1A"/>
          <w:sz w:val="36"/>
          <w:szCs w:val="36"/>
        </w:rPr>
        <w:t xml:space="preserve">قال ﷺ في نزولِ الربِّ ﷻ في ثُلُثِ الليلِ الآخِر:</w:t>
      </w:r>
    </w:p>
    <w:p>
      <w:pPr>
        <w:pBdr>
          <w:right w:val="single" w:sz="12" w:space="10" w:color="8A6A1F"/>
        </w:pBdr>
        <w:spacing w:before="120" w:after="160" w:line="320" w:lineRule="auto"/>
        <w:ind w:left="504" w:right="504"/>
        <w:jc w:val="both"/>
      </w:pPr>
      <w:r>
        <w:rPr>
          <w:b/>
          <w:bCs/>
          <w:color w:val="1F5C3A"/>
          <w:sz w:val="36"/>
          <w:szCs w:val="36"/>
        </w:rPr>
        <w:t xml:space="preserve">«... فلا يزالُ كذلك حتى يُضيءَ الفجر»</w:t>
      </w:r>
    </w:p>
    <w:p>
      <w:pPr>
        <w:spacing w:after="140" w:line="340" w:lineRule="auto"/>
        <w:jc w:val="both"/>
      </w:pPr>
      <w:r>
        <w:rPr>
          <w:color w:val="1A1A1A"/>
          <w:sz w:val="36"/>
          <w:szCs w:val="36"/>
        </w:rPr>
        <w:t xml:space="preserve">وجاء في بعضِ ألفاظِ الحديث: **</w:t>
      </w:r>
      <w:r>
        <w:rPr>
          <w:b/>
          <w:bCs/>
          <w:color w:val="1F5C3A"/>
          <w:sz w:val="36"/>
          <w:szCs w:val="36"/>
        </w:rPr>
        <w:t xml:space="preserve">«إلا زانيةً تسعى بفَرجِها، أو عَشّارًا»</w:t>
      </w:r>
      <w:r>
        <w:rPr>
          <w:color w:val="1A1A1A"/>
          <w:sz w:val="36"/>
          <w:szCs w:val="36"/>
        </w:rPr>
        <w:t xml:space="preserve">**.</w:t>
      </w:r>
      <w:r>
        <w:rPr>
          <w:rStyle w:val="a5"/>
          <w:sz w:val="36"/>
          <w:szCs w:val="36"/>
        </w:rPr>
        <w:footnoteReference w:id="4"/>
      </w:r>
    </w:p>
    <w:p>
      <w:pPr>
        <w:spacing w:before="200" w:after="100"/>
      </w:pPr>
      <w:r>
        <w:rPr>
          <w:b/>
          <w:bCs/>
          <w:color w:val="1A1A1A"/>
          <w:sz w:val="36"/>
          <w:szCs w:val="36"/>
        </w:rPr>
        <w:t xml:space="preserve">٤) حِرمانُ اللذَّةِ بالحلال</w:t>
      </w:r>
    </w:p>
    <w:p>
      <w:pPr>
        <w:spacing w:after="140" w:line="340" w:lineRule="auto"/>
        <w:jc w:val="both"/>
      </w:pPr>
      <w:r>
        <w:rPr>
          <w:color w:val="1A1A1A"/>
          <w:sz w:val="36"/>
          <w:szCs w:val="36"/>
        </w:rPr>
        <w:t xml:space="preserve">فمن أدمنَ النظرَ إلى الحرامِ لن يشبَعَ من حليلتِه؛ فالجزاءُ من جنسِ العمل. فانظُرْ إلى المُدمِنين: يتزوَّجُ الواحدُ منهم ثم لا يَقنَع! فمن أرادَ اللذَّةَ الهنيئةَ فليَحفَظِ الفَرجَ والسمعَ والبصر.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آثارُه في الآخرة</w:t>
      </w:r>
    </w:p>
    <w:p>
      <w:pPr>
        <w:spacing w:before="200" w:after="100"/>
      </w:pPr>
      <w:r>
        <w:rPr>
          <w:b/>
          <w:bCs/>
          <w:color w:val="1A1A1A"/>
          <w:sz w:val="36"/>
          <w:szCs w:val="36"/>
        </w:rPr>
        <w:t xml:space="preserve">١) العذابُ في التَّنُّور</w:t>
      </w:r>
    </w:p>
    <w:p>
      <w:pPr>
        <w:spacing w:after="140" w:line="340" w:lineRule="auto"/>
        <w:jc w:val="both"/>
      </w:pPr>
      <w:r>
        <w:rPr>
          <w:color w:val="1A1A1A"/>
          <w:sz w:val="36"/>
          <w:szCs w:val="36"/>
        </w:rPr>
        <w:t xml:space="preserve">في حديثِ الرؤيا الطويلِ عند البخاريِّ من حديث سَمُرةَ بنِ جُندُبٍ ﵁؛ قال ﷺ:</w:t>
      </w:r>
    </w:p>
    <w:p>
      <w:pPr>
        <w:pBdr>
          <w:right w:val="single" w:sz="12" w:space="10" w:color="8A6A1F"/>
        </w:pBdr>
        <w:spacing w:before="120" w:after="160" w:line="320" w:lineRule="auto"/>
        <w:ind w:left="504" w:right="504"/>
        <w:jc w:val="both"/>
      </w:pPr>
      <w:r>
        <w:rPr>
          <w:b/>
          <w:bCs/>
          <w:color w:val="1F5C3A"/>
          <w:sz w:val="36"/>
          <w:szCs w:val="36"/>
        </w:rPr>
        <w:t xml:space="preserve">«فانطلَقْنا إلى ثَقْبٍ مثلِ التَّنُّور، أعلاه ضيِّقٌ وأسفلُه واسع، يَتوقَّدُ تحته نارًا؛ فإذا اقتربَ ارتفَعوا حتى كادَ أن يخرُجوا، فإذا خمدَتْ رجَعوا فيها ـ وفيها رجالٌ ونساءٌ عُراة»</w:t>
      </w:r>
    </w:p>
    <w:p>
      <w:pPr>
        <w:spacing w:after="140" w:line="340" w:lineRule="auto"/>
        <w:jc w:val="both"/>
      </w:pPr>
      <w:r>
        <w:rPr>
          <w:color w:val="1A1A1A"/>
          <w:sz w:val="36"/>
          <w:szCs w:val="36"/>
        </w:rPr>
        <w:t xml:space="preserve">فسألَ عنهم فقيل: **</w:t>
      </w:r>
      <w:r>
        <w:rPr>
          <w:b/>
          <w:bCs/>
          <w:color w:val="1F5C3A"/>
          <w:sz w:val="36"/>
          <w:szCs w:val="36"/>
        </w:rPr>
        <w:t xml:space="preserve">«هم الزُّناةُ والزَّواني»</w:t>
      </w:r>
      <w:r>
        <w:rPr>
          <w:color w:val="1A1A1A"/>
          <w:sz w:val="36"/>
          <w:szCs w:val="36"/>
        </w:rPr>
        <w:t xml:space="preserve">.**</w:t>
      </w:r>
      <w:r>
        <w:rPr>
          <w:rStyle w:val="a5"/>
          <w:sz w:val="36"/>
          <w:szCs w:val="36"/>
        </w:rPr>
        <w:footnoteReference w:id="5"/>
      </w:r>
    </w:p>
    <w:p>
      <w:pPr>
        <w:spacing w:before="200" w:after="100"/>
      </w:pPr>
      <w:r>
        <w:rPr>
          <w:b/>
          <w:bCs/>
          <w:color w:val="1A1A1A"/>
          <w:sz w:val="36"/>
          <w:szCs w:val="36"/>
        </w:rPr>
        <w:t xml:space="preserve">٢) لِواءُ الغادِرِ بحَليلةِ الجار</w:t>
      </w:r>
    </w:p>
    <w:p>
      <w:pPr>
        <w:spacing w:after="140" w:line="340" w:lineRule="auto"/>
        <w:jc w:val="both"/>
      </w:pPr>
      <w:r>
        <w:rPr>
          <w:color w:val="1A1A1A"/>
          <w:sz w:val="36"/>
          <w:szCs w:val="36"/>
        </w:rPr>
        <w:t xml:space="preserve">فهذا الذي يخونُ جارَه في أهلِه: قال ابنُ مسعودٍ ﵁: سألتُ النبيَّ ﷺ: أيُّ الذنبِ أعظمُ عند الله؟ قال: **</w:t>
      </w:r>
      <w:r>
        <w:rPr>
          <w:b/>
          <w:bCs/>
          <w:color w:val="1F5C3A"/>
          <w:sz w:val="36"/>
          <w:szCs w:val="36"/>
        </w:rPr>
        <w:t xml:space="preserve">«أن تجعَلَ للهِ نِدًّا وهو خلَقَك»</w:t>
      </w:r>
      <w:r>
        <w:rPr>
          <w:color w:val="1A1A1A"/>
          <w:sz w:val="36"/>
          <w:szCs w:val="36"/>
        </w:rPr>
        <w:t xml:space="preserve">**. قلتُ: ثم أيّ؟ قال: **</w:t>
      </w:r>
      <w:r>
        <w:rPr>
          <w:b/>
          <w:bCs/>
          <w:color w:val="1F5C3A"/>
          <w:sz w:val="36"/>
          <w:szCs w:val="36"/>
        </w:rPr>
        <w:t xml:space="preserve">«أن تقتُلَ ولدَك خشيةَ أن يَطعَمَ معك»</w:t>
      </w:r>
      <w:r>
        <w:rPr>
          <w:color w:val="1A1A1A"/>
          <w:sz w:val="36"/>
          <w:szCs w:val="36"/>
        </w:rPr>
        <w:t xml:space="preserve">**. قلتُ: ثم أيّ؟ قال:</w:t>
      </w:r>
    </w:p>
    <w:p>
      <w:pPr>
        <w:pBdr>
          <w:right w:val="single" w:sz="12" w:space="10" w:color="8A6A1F"/>
        </w:pBdr>
        <w:spacing w:before="120" w:after="160" w:line="320" w:lineRule="auto"/>
        <w:ind w:left="504" w:right="504"/>
        <w:jc w:val="both"/>
      </w:pPr>
      <w:r>
        <w:rPr>
          <w:b/>
          <w:bCs/>
          <w:color w:val="1F5C3A"/>
          <w:sz w:val="36"/>
          <w:szCs w:val="36"/>
        </w:rPr>
        <w:t xml:space="preserve">«أن تُزانيَ حَليلةَ جارِك»</w:t>
      </w:r>
      <w:r>
        <w:rPr>
          <w:rStyle w:val="a5"/>
          <w:sz w:val="36"/>
          <w:szCs w:val="36"/>
        </w:rPr>
        <w:footnoteReference w:id="6"/>
      </w:r>
    </w:p>
    <w:p>
      <w:pPr>
        <w:spacing w:after="140" w:line="340" w:lineRule="auto"/>
        <w:jc w:val="both"/>
      </w:pPr>
      <w:r>
        <w:rPr>
          <w:color w:val="1A1A1A"/>
          <w:sz w:val="36"/>
          <w:szCs w:val="36"/>
        </w:rPr>
        <w:t xml:space="preserve">فتأمَّلْ: قرَنَه بالشِّركِ وقتلِ الولد! ثم أنشدَ الأوَّلون:</w:t>
      </w:r>
    </w:p>
    <w:p>
      <w:pPr>
        <w:pBdr>
          <w:right w:val="single" w:sz="12" w:space="10" w:color="8A6A1F"/>
        </w:pBdr>
        <w:spacing w:before="120" w:after="160" w:line="320" w:lineRule="auto"/>
        <w:ind w:left="504" w:right="504"/>
        <w:jc w:val="both"/>
      </w:pPr>
      <w:r>
        <w:rPr>
          <w:b/>
          <w:bCs/>
          <w:color w:val="1F5C3A"/>
          <w:sz w:val="36"/>
          <w:szCs w:val="36"/>
        </w:rPr>
        <w:t xml:space="preserve">وأَغُضُّ طَرْفي إن بدَتْ لي جارَتي ... حتى يُواريَ جارَتي مَأْواها</w:t>
      </w:r>
    </w:p>
    <w:p>
      <w:pPr>
        <w:spacing w:before="260" w:after="120"/>
      </w:pPr>
      <w:r>
        <w:rPr>
          <w:b/>
          <w:bCs/>
          <w:color w:val="1F5C3A"/>
          <w:sz w:val="36"/>
          <w:szCs w:val="36"/>
        </w:rPr>
        <w:t xml:space="preserve">ثالثًا: العِلاج</w:t>
      </w:r>
    </w:p>
    <w:p>
      <w:pPr>
        <w:spacing w:before="200" w:after="100"/>
      </w:pPr>
      <w:r>
        <w:rPr>
          <w:b/>
          <w:bCs/>
          <w:color w:val="1A1A1A"/>
          <w:sz w:val="36"/>
          <w:szCs w:val="36"/>
        </w:rPr>
        <w:t xml:space="preserve">١) غَضُّ البصر</w:t>
      </w:r>
    </w:p>
    <w:p>
      <w:pPr>
        <w:spacing w:after="140" w:line="340" w:lineRule="auto"/>
        <w:jc w:val="both"/>
      </w:pPr>
      <w:r>
        <w:rPr>
          <w:b/>
          <w:bCs/>
          <w:color w:val="8A6A1F"/>
          <w:sz w:val="36"/>
          <w:szCs w:val="36"/>
        </w:rPr>
        <w:t xml:space="preserve">﴿قُل لِّلْمُؤْمِنِينَ يَغُضُّوا مِنْ أَبْصَارِهِمْ وَيَحْفَظُوا فُرُوجَهُمْ﴾</w:t>
      </w:r>
      <w:r>
        <w:rPr>
          <w:color w:val="1A1A1A"/>
          <w:sz w:val="36"/>
          <w:szCs w:val="36"/>
        </w:rPr>
        <w:t xml:space="preserve">، </w:t>
      </w:r>
      <w:r>
        <w:rPr>
          <w:b/>
          <w:bCs/>
          <w:color w:val="8A6A1F"/>
          <w:sz w:val="36"/>
          <w:szCs w:val="36"/>
        </w:rPr>
        <w:t xml:space="preserve">﴿وَقُل لِّلْمُؤْمِنَاتِ يَغْضُضْنَ مِنْ أَبْصَارِهِنَّ وَيَحْفَظْنَ فُرُوجَهُنَّ﴾</w:t>
      </w:r>
      <w:r>
        <w:rPr>
          <w:color w:val="1A1A1A"/>
          <w:sz w:val="36"/>
          <w:szCs w:val="36"/>
        </w:rPr>
        <w:t xml:space="preserve">.</w:t>
      </w:r>
    </w:p>
    <w:p>
      <w:pPr>
        <w:spacing w:after="140" w:line="340" w:lineRule="auto"/>
        <w:jc w:val="both"/>
      </w:pPr>
      <w:r>
        <w:rPr>
          <w:color w:val="1A1A1A"/>
          <w:sz w:val="36"/>
          <w:szCs w:val="36"/>
        </w:rPr>
        <w:t xml:space="preserve">وسألَ جريرٌ ﵁ النبيَّ ﷺ عن نظرةِ الفَجأة، فقال: **</w:t>
      </w:r>
      <w:r>
        <w:rPr>
          <w:b/>
          <w:bCs/>
          <w:color w:val="1F5C3A"/>
          <w:sz w:val="36"/>
          <w:szCs w:val="36"/>
        </w:rPr>
        <w:t xml:space="preserve">«اصرِفْ بصرَك»</w:t>
      </w:r>
      <w:r>
        <w:rPr>
          <w:color w:val="1A1A1A"/>
          <w:sz w:val="36"/>
          <w:szCs w:val="36"/>
        </w:rPr>
        <w:t xml:space="preserve">**.</w:t>
      </w:r>
      <w:r>
        <w:rPr>
          <w:rStyle w:val="a5"/>
          <w:sz w:val="36"/>
          <w:szCs w:val="36"/>
        </w:rPr>
        <w:footnoteReference w:id="7"/>
      </w:r>
      <w:r>
        <w:rPr>
          <w:color w:val="1A1A1A"/>
          <w:sz w:val="36"/>
          <w:szCs w:val="36"/>
        </w:rPr>
        <w:t xml:space="preserve"> وقال لعليٍّ ﵁:</w:t>
      </w:r>
    </w:p>
    <w:p>
      <w:pPr>
        <w:pBdr>
          <w:right w:val="single" w:sz="12" w:space="10" w:color="8A6A1F"/>
        </w:pBdr>
        <w:spacing w:before="120" w:after="160" w:line="320" w:lineRule="auto"/>
        <w:ind w:left="504" w:right="504"/>
        <w:jc w:val="both"/>
      </w:pPr>
      <w:r>
        <w:rPr>
          <w:b/>
          <w:bCs/>
          <w:color w:val="1F5C3A"/>
          <w:sz w:val="36"/>
          <w:szCs w:val="36"/>
        </w:rPr>
        <w:t xml:space="preserve">«لا تُتبِعِ النظرةَ النظرة؛ فإنّ لك الأُولى وليست لك الآخِرة»</w:t>
      </w:r>
      <w:r>
        <w:rPr>
          <w:rStyle w:val="a5"/>
          <w:sz w:val="36"/>
          <w:szCs w:val="36"/>
        </w:rPr>
        <w:footnoteReference w:id="8"/>
      </w:r>
    </w:p>
    <w:p>
      <w:pPr>
        <w:spacing w:after="140" w:line="340" w:lineRule="auto"/>
        <w:jc w:val="both"/>
      </w:pPr>
      <w:r>
        <w:rPr>
          <w:color w:val="1A1A1A"/>
          <w:sz w:val="36"/>
          <w:szCs w:val="36"/>
        </w:rPr>
        <w:t xml:space="preserve">فإنّ لهذه النظرةِ أثرًا عظيمًا؛ سِهامٌ تستقِرُّ في القلب. ولاحِظْ أنّ اللهَ ما قال </w:t>
      </w:r>
      <w:r>
        <w:rPr>
          <w:b/>
          <w:bCs/>
          <w:color w:val="1F5C3A"/>
          <w:sz w:val="36"/>
          <w:szCs w:val="36"/>
        </w:rPr>
        <w:t xml:space="preserve">«لا تزنوا»</w:t>
      </w:r>
      <w:r>
        <w:rPr>
          <w:color w:val="1A1A1A"/>
          <w:sz w:val="36"/>
          <w:szCs w:val="36"/>
        </w:rPr>
        <w:t xml:space="preserve"> بل قال: </w:t>
      </w:r>
      <w:r>
        <w:rPr>
          <w:b/>
          <w:bCs/>
          <w:color w:val="8A6A1F"/>
          <w:sz w:val="36"/>
          <w:szCs w:val="36"/>
        </w:rPr>
        <w:t xml:space="preserve">﴿وَلَا تَقْرَبُوا الزِّنَا﴾</w:t>
      </w:r>
      <w:r>
        <w:rPr>
          <w:color w:val="1A1A1A"/>
          <w:sz w:val="36"/>
          <w:szCs w:val="36"/>
        </w:rPr>
        <w:t xml:space="preserve"> ـ فنهى عن كلِّ ما يُفضي إليه.</w:t>
      </w:r>
    </w:p>
    <w:p>
      <w:pPr>
        <w:spacing w:before="200" w:after="100"/>
      </w:pPr>
      <w:r>
        <w:rPr>
          <w:b/>
          <w:bCs/>
          <w:color w:val="1A1A1A"/>
          <w:sz w:val="36"/>
          <w:szCs w:val="36"/>
        </w:rPr>
        <w:t xml:space="preserve">٢) تعزيزُ الإيمانِ في القلب</w:t>
      </w:r>
    </w:p>
    <w:p>
      <w:pPr>
        <w:spacing w:after="140" w:line="340" w:lineRule="auto"/>
        <w:jc w:val="both"/>
      </w:pPr>
      <w:r>
        <w:rPr>
          <w:color w:val="1A1A1A"/>
          <w:sz w:val="36"/>
          <w:szCs w:val="36"/>
        </w:rPr>
        <w:t xml:space="preserve">فإذا أطلقتَ سمعَك وبصرَك ولم تتزوَّدْ بزادِ الإيمان، فكيف ينمو الإيمانُ في قلبِك؟ فتمسَّكْ بكلِّ ما يُعزِّزُه.</w:t>
      </w:r>
    </w:p>
    <w:p>
      <w:pPr>
        <w:spacing w:before="200" w:after="100"/>
      </w:pPr>
      <w:r>
        <w:rPr>
          <w:b/>
          <w:bCs/>
          <w:color w:val="1A1A1A"/>
          <w:sz w:val="36"/>
          <w:szCs w:val="36"/>
        </w:rPr>
        <w:t xml:space="preserve">٣) تذكُّرُ أمِّك وأختِك وزوجتِك وابنتِك</w:t>
      </w:r>
    </w:p>
    <w:p>
      <w:pPr>
        <w:spacing w:after="140" w:line="340" w:lineRule="auto"/>
        <w:jc w:val="both"/>
      </w:pPr>
      <w:r>
        <w:rPr>
          <w:color w:val="1A1A1A"/>
          <w:sz w:val="36"/>
          <w:szCs w:val="36"/>
        </w:rPr>
        <w:t xml:space="preserve">جاء فتًى إلى النبيِّ ﷺ فقال: يا رسولَ الله، ائذَنْ لي بالزنا! فأقبلَ القومُ عليه يزجُرونه؛ فقال ﷺ: **</w:t>
      </w:r>
      <w:r>
        <w:rPr>
          <w:b/>
          <w:bCs/>
          <w:color w:val="1F5C3A"/>
          <w:sz w:val="36"/>
          <w:szCs w:val="36"/>
        </w:rPr>
        <w:t xml:space="preserve">«ادنُهْ»</w:t>
      </w:r>
      <w:r>
        <w:rPr>
          <w:color w:val="1A1A1A"/>
          <w:sz w:val="36"/>
          <w:szCs w:val="36"/>
        </w:rPr>
        <w:t xml:space="preserve">**، فدنا منه فجلَس. قال:</w:t>
      </w:r>
    </w:p>
    <w:p>
      <w:pPr>
        <w:pBdr>
          <w:right w:val="single" w:sz="12" w:space="10" w:color="8A6A1F"/>
        </w:pBdr>
        <w:spacing w:before="120" w:after="160" w:line="320" w:lineRule="auto"/>
        <w:ind w:left="504" w:right="504"/>
        <w:jc w:val="both"/>
      </w:pPr>
      <w:r>
        <w:rPr>
          <w:b/>
          <w:bCs/>
          <w:color w:val="1F5C3A"/>
          <w:sz w:val="36"/>
          <w:szCs w:val="36"/>
        </w:rPr>
        <w:t xml:space="preserve">«أَتُحِبُّه لأمِّك؟»</w:t>
      </w:r>
      <w:r>
        <w:rPr>
          <w:b/>
          <w:bCs/>
          <w:color w:val="1F5C3A"/>
          <w:sz w:val="36"/>
          <w:szCs w:val="36"/>
        </w:rPr>
        <w:t xml:space="preserve"> قال: لا واللهِ جعَلَني اللهُ فِداءَك. قال: </w:t>
      </w:r>
      <w:r>
        <w:rPr>
          <w:b/>
          <w:bCs/>
          <w:color w:val="1F5C3A"/>
          <w:sz w:val="36"/>
          <w:szCs w:val="36"/>
        </w:rPr>
        <w:t xml:space="preserve">«ولا الناسُ يُحِبُّونه لأمَّهاتِهم»</w:t>
      </w:r>
      <w:r>
        <w:rPr>
          <w:b/>
          <w:bCs/>
          <w:color w:val="1F5C3A"/>
          <w:sz w:val="36"/>
          <w:szCs w:val="36"/>
        </w:rPr>
        <w:t xml:space="preserve">. </w:t>
      </w:r>
      <w:r>
        <w:rPr>
          <w:b/>
          <w:bCs/>
          <w:color w:val="1F5C3A"/>
          <w:sz w:val="36"/>
          <w:szCs w:val="36"/>
        </w:rPr>
        <w:t xml:space="preserve">«أَفتُحِبُّه لابنتِك؟»</w:t>
      </w:r>
      <w:r>
        <w:rPr>
          <w:b/>
          <w:bCs/>
          <w:color w:val="1F5C3A"/>
          <w:sz w:val="36"/>
          <w:szCs w:val="36"/>
        </w:rPr>
        <w:t xml:space="preserve">... </w:t>
      </w:r>
      <w:r>
        <w:rPr>
          <w:b/>
          <w:bCs/>
          <w:color w:val="1F5C3A"/>
          <w:sz w:val="36"/>
          <w:szCs w:val="36"/>
        </w:rPr>
        <w:t xml:space="preserve">«أَفتُحِبُّه لأختِك؟»</w:t>
      </w:r>
      <w:r>
        <w:rPr>
          <w:b/>
          <w:bCs/>
          <w:color w:val="1F5C3A"/>
          <w:sz w:val="36"/>
          <w:szCs w:val="36"/>
        </w:rPr>
        <w:t xml:space="preserve">... </w:t>
      </w:r>
      <w:r>
        <w:rPr>
          <w:b/>
          <w:bCs/>
          <w:color w:val="1F5C3A"/>
          <w:sz w:val="36"/>
          <w:szCs w:val="36"/>
        </w:rPr>
        <w:t xml:space="preserve">«أَفتُحِبُّه لعمَّتِك؟»</w:t>
      </w:r>
      <w:r>
        <w:rPr>
          <w:b/>
          <w:bCs/>
          <w:color w:val="1F5C3A"/>
          <w:sz w:val="36"/>
          <w:szCs w:val="36"/>
        </w:rPr>
        <w:t xml:space="preserve">... </w:t>
      </w:r>
      <w:r>
        <w:rPr>
          <w:b/>
          <w:bCs/>
          <w:color w:val="1F5C3A"/>
          <w:sz w:val="36"/>
          <w:szCs w:val="36"/>
        </w:rPr>
        <w:t xml:space="preserve">«أَفتُحِبُّه لخالتِك؟»</w:t>
      </w:r>
      <w:r>
        <w:rPr>
          <w:b/>
          <w:bCs/>
          <w:color w:val="1F5C3A"/>
          <w:sz w:val="36"/>
          <w:szCs w:val="36"/>
        </w:rPr>
        <w:t xml:space="preserve"> ـ وهو يقولُ في كلٍّ: لا واللهِ. ثم وضعَ ﷺ يدَه عليه وقال: </w:t>
      </w:r>
      <w:r>
        <w:rPr>
          <w:b/>
          <w:bCs/>
          <w:color w:val="1F5C3A"/>
          <w:sz w:val="36"/>
          <w:szCs w:val="36"/>
        </w:rPr>
        <w:t xml:space="preserve">«اللهم اغفِرْ ذنبَه، وطهِّرْ قلبَه، وحصِّنْ فرجَه»</w:t>
      </w:r>
    </w:p>
    <w:p>
      <w:pPr>
        <w:spacing w:after="140" w:line="340" w:lineRule="auto"/>
        <w:jc w:val="both"/>
      </w:pPr>
      <w:r>
        <w:rPr>
          <w:color w:val="1A1A1A"/>
          <w:sz w:val="36"/>
          <w:szCs w:val="36"/>
        </w:rPr>
        <w:t xml:space="preserve">قال: فلم يكُنْ بعد ذلك الفتى يلتفِتُ إلى شيء.</w:t>
      </w:r>
      <w:r>
        <w:rPr>
          <w:rStyle w:val="a5"/>
          <w:sz w:val="36"/>
          <w:szCs w:val="36"/>
        </w:rPr>
        <w:footnoteReference w:id="9"/>
      </w:r>
    </w:p>
    <w:p>
      <w:pPr>
        <w:spacing w:after="140" w:line="340" w:lineRule="auto"/>
        <w:jc w:val="both"/>
      </w:pPr>
      <w:r>
        <w:rPr>
          <w:color w:val="1A1A1A"/>
          <w:sz w:val="36"/>
          <w:szCs w:val="36"/>
        </w:rPr>
        <w:t xml:space="preserve">**فتأمَّلْ رحمتَه ﷺ وحِكمتَه**: خاطَبَ الفِطرةَ فحصَلَ المقصود.</w:t>
      </w:r>
    </w:p>
    <w:p>
      <w:pPr>
        <w:spacing w:before="200" w:after="100"/>
      </w:pPr>
      <w:r>
        <w:rPr>
          <w:b/>
          <w:bCs/>
          <w:color w:val="1A1A1A"/>
          <w:sz w:val="36"/>
          <w:szCs w:val="36"/>
        </w:rPr>
        <w:t xml:space="preserve">٤) الأخذُ بأسبابِ العفاف</w:t>
      </w:r>
    </w:p>
    <w:p>
      <w:pPr>
        <w:spacing w:after="140" w:line="340" w:lineRule="auto"/>
        <w:jc w:val="both"/>
      </w:pPr>
      <w:r>
        <w:rPr>
          <w:color w:val="1A1A1A"/>
          <w:sz w:val="36"/>
          <w:szCs w:val="36"/>
        </w:rPr>
        <w:t xml:space="preserve">فمن أسبابِ الفاحشةِ التبرُّجُ والاختلاطُ بلا ضوابط، وإرسالُ ما يُؤجِّجُ الشهوات. **وإنّ من أعظمِ العلاجِ تيسيرَ الزواجِ**؛ قال ﷺ:</w:t>
      </w:r>
    </w:p>
    <w:p>
      <w:pPr>
        <w:pBdr>
          <w:right w:val="single" w:sz="12" w:space="10" w:color="8A6A1F"/>
        </w:pBdr>
        <w:spacing w:before="120" w:after="160" w:line="320" w:lineRule="auto"/>
        <w:ind w:left="504" w:right="504"/>
        <w:jc w:val="both"/>
      </w:pPr>
      <w:r>
        <w:rPr>
          <w:b/>
          <w:bCs/>
          <w:color w:val="1F5C3A"/>
          <w:sz w:val="36"/>
          <w:szCs w:val="36"/>
        </w:rPr>
        <w:t xml:space="preserve">«يا معشرَ الشباب، من استطاعَ منكمُ الباءةَ فليَتزوَّجْ؛ فإنه أغَضُّ للبصرِ وأحصَنُ للفَرْج، ومن لم يستطِعْ فعليه بالصومِ فإنه له وِجاء»</w:t>
      </w:r>
      <w:r>
        <w:rPr>
          <w:rStyle w:val="a5"/>
          <w:sz w:val="36"/>
          <w:szCs w:val="36"/>
        </w:rPr>
        <w:footnoteReference w:id="10"/>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يُطهِّرَ قلوبَنا وأبصارَنا وفروجَنا، وأن يُعِفَّ نساءَنا وبيوتَنا ومجتمعاتِ المسلمين؛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في كلِّ مكان. اللهم مُنزِلَ الكتاب، مُجرِيَ السحاب، هازمَ الأحزاب: اهزِمْ من اعتدى عليهم وانصُرْنا عليهم.</w:t>
      </w:r>
      <w:r>
        <w:rPr>
          <w:rStyle w:val="a5"/>
          <w:sz w:val="36"/>
          <w:szCs w:val="36"/>
        </w:rPr>
        <w:footnoteReference w:id="11"/>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مسعود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أصلُ حديثِ النزولِ متفقٌ عليه من حديث أبي هريرة ﵁؛ وزيادةُ «إلا زانيةً تسعى بفَرجِها أو عَشّارًا» أخرجها أحمدُ وغيرُه، وفي إسنادِها مقال.</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سَمُرةَ بنِ جُندُبٍ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مسعود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جَريرِ بن عبد الله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عليِّ بن أبي طالبٍ ﵁، وحسَّنه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أبي أُمامة ﵁، وصححه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مسعود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