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صيانةُ النفسِ البشرية</w:t>
      </w:r>
    </w:p>
    <w:p>
      <w:pPr>
        <w:spacing w:after="120"/>
      </w:pPr>
      <w:r>
        <w:rPr>
          <w:color w:val="8A6A1F"/>
          <w:sz w:val="36"/>
          <w:szCs w:val="36"/>
        </w:rPr>
        <w:t xml:space="preserve">خطرُ الخمورِ والمخدِّرات: حُكمُها وآثارُها وعِلاجُها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مُلوكٌ في الخيال</w:t>
      </w:r>
    </w:p>
    <w:p>
      <w:pPr>
        <w:spacing w:after="140" w:line="340" w:lineRule="auto"/>
        <w:jc w:val="both"/>
      </w:pPr>
      <w:r>
        <w:rPr>
          <w:color w:val="1A1A1A"/>
          <w:sz w:val="36"/>
          <w:szCs w:val="36"/>
        </w:rPr>
        <w:t xml:space="preserve">وبعدُ، أحبَّتي في الله، معاشرَ الموحِّدين: شجاعةٌ وهميَّةٌ وفروسيةٌ من خيال؛ مشهدٌ مؤلمٌ ترسُمُه شِفاهُ شعرائِهم إذ يقول قائلُهم:</w:t>
      </w:r>
    </w:p>
    <w:p>
      <w:pPr>
        <w:pBdr>
          <w:right w:val="single" w:sz="12" w:space="10" w:color="8A6A1F"/>
        </w:pBdr>
        <w:spacing w:before="120" w:after="160" w:line="320" w:lineRule="auto"/>
        <w:ind w:left="504" w:right="504"/>
        <w:jc w:val="both"/>
      </w:pPr>
      <w:r>
        <w:rPr>
          <w:b/>
          <w:bCs/>
          <w:color w:val="1F5C3A"/>
          <w:sz w:val="36"/>
          <w:szCs w:val="36"/>
        </w:rPr>
        <w:t xml:space="preserve">ونَشرَبُها فتَترُكُنا مُلوكًا ... وأُسْدًا ما يُنَهنِهُنا اللِّقاءُ</w:t>
      </w:r>
    </w:p>
    <w:p>
      <w:pPr>
        <w:spacing w:after="140" w:line="340" w:lineRule="auto"/>
        <w:jc w:val="both"/>
      </w:pPr>
      <w:r>
        <w:rPr>
          <w:color w:val="1A1A1A"/>
          <w:sz w:val="36"/>
          <w:szCs w:val="36"/>
        </w:rPr>
        <w:t xml:space="preserve">أيُّ مُلوكٍ أنتم؟ عالَمٌ من الخيالِ حلَّقَتْ فيه عقولُهم لمّا أدمَنوا شُربَها؛ فرَدَّدوا هروبًا من واقعِهم المرير:</w:t>
      </w:r>
    </w:p>
    <w:p>
      <w:pPr>
        <w:pBdr>
          <w:right w:val="single" w:sz="12" w:space="10" w:color="8A6A1F"/>
        </w:pBdr>
        <w:spacing w:before="120" w:after="160" w:line="320" w:lineRule="auto"/>
        <w:ind w:left="504" w:right="504"/>
        <w:jc w:val="both"/>
      </w:pPr>
      <w:r>
        <w:rPr>
          <w:b/>
          <w:bCs/>
          <w:color w:val="1F5C3A"/>
          <w:sz w:val="36"/>
          <w:szCs w:val="36"/>
        </w:rPr>
        <w:t xml:space="preserve">ألا هُبِّي بصَحنِكِ فاصبَحينا ... ولا تُبقي خُمورَ الأندَرينا</w:t>
      </w:r>
    </w:p>
    <w:p>
      <w:pPr>
        <w:spacing w:after="140" w:line="340" w:lineRule="auto"/>
        <w:jc w:val="both"/>
      </w:pPr>
      <w:r>
        <w:rPr>
          <w:color w:val="1A1A1A"/>
          <w:sz w:val="36"/>
          <w:szCs w:val="36"/>
        </w:rPr>
        <w:t xml:space="preserve">جاء الإسلامُ لِيَصونَ النفسَ البشريةَ عن الانحطاط، فرَقى بها في سُلَّمِ العبوديةِ لربِّ البرية. فحديثي عن أعظمِ ما يَغتالُ هذه النفس: **الخمورُ والمخدِّرات**.</w:t>
      </w:r>
    </w:p>
    <w:p>
      <w:pPr>
        <w:spacing w:before="260" w:after="120"/>
      </w:pPr>
      <w:r>
        <w:rPr>
          <w:b/>
          <w:bCs/>
          <w:color w:val="1F5C3A"/>
          <w:sz w:val="36"/>
          <w:szCs w:val="36"/>
        </w:rPr>
        <w:t xml:space="preserve">أولًا: الحُكم</w:t>
      </w:r>
    </w:p>
    <w:p>
      <w:pPr>
        <w:spacing w:after="140" w:line="340" w:lineRule="auto"/>
        <w:jc w:val="both"/>
      </w:pPr>
      <w:r>
        <w:rPr>
          <w:color w:val="1A1A1A"/>
          <w:sz w:val="36"/>
          <w:szCs w:val="36"/>
        </w:rPr>
        <w:t xml:space="preserve">اعلَمْ يا مسلمُ أنّ الخمرَ ـ ويدخُلُ فيها المخدِّرُ والمُفتِّر ـ حرامٌ بنصِّ كلامِ اللهِ وحديثِ رسولِه ﷺ وإجماعِ الأمَّة. قال سبحانه:</w:t>
      </w:r>
    </w:p>
    <w:p>
      <w:pPr>
        <w:pBdr>
          <w:right w:val="single" w:sz="12" w:space="10" w:color="8A6A1F"/>
        </w:pBdr>
        <w:spacing w:before="120" w:after="160" w:line="320" w:lineRule="auto"/>
        <w:ind w:left="504" w:right="504"/>
        <w:jc w:val="both"/>
      </w:pPr>
      <w:r>
        <w:rPr>
          <w:b/>
          <w:bCs/>
          <w:color w:val="8A6A1F"/>
          <w:sz w:val="36"/>
          <w:szCs w:val="36"/>
        </w:rPr>
        <w:t xml:space="preserve">﴿يَا أَيُّهَا الَّذِينَ آمَنُوا إِنَّمَا الْخَمْرُ وَالْمَيْسِرُ وَالْأَنصَابُ وَالْأَزْلَامُ رِجْسٌ مِّنْ عَمَلِ الشَّيْطَانِ فَاجْتَنِبُوهُ لَعَلَّكُمْ تُفْلِحُونَ﴾</w:t>
      </w:r>
    </w:p>
    <w:p>
      <w:pPr>
        <w:spacing w:after="140" w:line="340" w:lineRule="auto"/>
        <w:jc w:val="both"/>
      </w:pPr>
      <w:r>
        <w:rPr>
          <w:color w:val="1A1A1A"/>
          <w:sz w:val="36"/>
          <w:szCs w:val="36"/>
        </w:rPr>
        <w:t xml:space="preserve">وقال ابنُ مسعودٍ ﵁: **إذا سمِعتَ اللهَ يقول </w:t>
      </w:r>
      <w:r>
        <w:rPr>
          <w:b/>
          <w:bCs/>
          <w:color w:val="8A6A1F"/>
          <w:sz w:val="36"/>
          <w:szCs w:val="36"/>
        </w:rPr>
        <w:t xml:space="preserve">﴿يَا أَيُّهَا الَّذِينَ آمَنُوا﴾</w:t>
      </w:r>
      <w:r>
        <w:rPr>
          <w:color w:val="1A1A1A"/>
          <w:sz w:val="36"/>
          <w:szCs w:val="36"/>
        </w:rPr>
        <w:t xml:space="preserve"> فأَرْعِها سمعَك؛ فإنه إمّا خيرٌ تُؤمَرُ به، أو شرٌّ تُنهى عنه.**</w:t>
      </w:r>
      <w:r>
        <w:rPr>
          <w:rStyle w:val="a5"/>
          <w:sz w:val="36"/>
          <w:szCs w:val="36"/>
        </w:rPr>
        <w:footnoteReference w:id="1"/>
      </w:r>
    </w:p>
    <w:p>
      <w:pPr>
        <w:spacing w:after="140" w:line="340" w:lineRule="auto"/>
        <w:jc w:val="both"/>
      </w:pPr>
      <w:r>
        <w:rPr>
          <w:color w:val="1A1A1A"/>
          <w:sz w:val="36"/>
          <w:szCs w:val="36"/>
        </w:rPr>
        <w:t xml:space="preserve">وروى مسلمٌ أنّ رجلًا سألَ النبيَّ ﷺ عن شرابٍ باليمنِ يُقالُ له </w:t>
      </w:r>
      <w:r>
        <w:rPr>
          <w:b/>
          <w:bCs/>
          <w:color w:val="1F5C3A"/>
          <w:sz w:val="36"/>
          <w:szCs w:val="36"/>
        </w:rPr>
        <w:t xml:space="preserve">«المِزْر»</w:t>
      </w:r>
      <w:r>
        <w:rPr>
          <w:color w:val="1A1A1A"/>
          <w:sz w:val="36"/>
          <w:szCs w:val="36"/>
        </w:rPr>
        <w:t xml:space="preserve">، فقال ﷺ: **</w:t>
      </w:r>
      <w:r>
        <w:rPr>
          <w:b/>
          <w:bCs/>
          <w:color w:val="1F5C3A"/>
          <w:sz w:val="36"/>
          <w:szCs w:val="36"/>
        </w:rPr>
        <w:t xml:space="preserve">«أَمُسكِرٌ هو؟»</w:t>
      </w:r>
      <w:r>
        <w:rPr>
          <w:color w:val="1A1A1A"/>
          <w:sz w:val="36"/>
          <w:szCs w:val="36"/>
        </w:rPr>
        <w:t xml:space="preserve">** قال: نعم. قال:</w:t>
      </w:r>
    </w:p>
    <w:p>
      <w:pPr>
        <w:pBdr>
          <w:right w:val="single" w:sz="12" w:space="10" w:color="8A6A1F"/>
        </w:pBdr>
        <w:spacing w:before="120" w:after="160" w:line="320" w:lineRule="auto"/>
        <w:ind w:left="504" w:right="504"/>
        <w:jc w:val="both"/>
      </w:pPr>
      <w:r>
        <w:rPr>
          <w:b/>
          <w:bCs/>
          <w:color w:val="1F5C3A"/>
          <w:sz w:val="36"/>
          <w:szCs w:val="36"/>
        </w:rPr>
        <w:t xml:space="preserve">«كلُّ مُسكِرٍ خمر، وكلُّ خمرٍ حرام»</w:t>
      </w:r>
      <w:r>
        <w:rPr>
          <w:rStyle w:val="a5"/>
          <w:sz w:val="36"/>
          <w:szCs w:val="36"/>
        </w:rPr>
        <w:footnoteReference w:id="2"/>
      </w:r>
    </w:p>
    <w:p>
      <w:pPr>
        <w:spacing w:after="140" w:line="340" w:lineRule="auto"/>
        <w:jc w:val="both"/>
      </w:pPr>
      <w:r>
        <w:rPr>
          <w:color w:val="1A1A1A"/>
          <w:sz w:val="36"/>
          <w:szCs w:val="36"/>
        </w:rPr>
        <w:t xml:space="preserve">فالحشيشُ خمر، والحبوبُ المُخدِّرةُ خمر. وقال ﷺ:</w:t>
      </w:r>
    </w:p>
    <w:p>
      <w:pPr>
        <w:pBdr>
          <w:right w:val="single" w:sz="12" w:space="10" w:color="8A6A1F"/>
        </w:pBdr>
        <w:spacing w:before="120" w:after="160" w:line="320" w:lineRule="auto"/>
        <w:ind w:left="504" w:right="504"/>
        <w:jc w:val="both"/>
      </w:pPr>
      <w:r>
        <w:rPr>
          <w:b/>
          <w:bCs/>
          <w:color w:val="1F5C3A"/>
          <w:sz w:val="36"/>
          <w:szCs w:val="36"/>
        </w:rPr>
        <w:t xml:space="preserve">«ما أسكرَ كثيرُه فقليلُه حرام»</w:t>
      </w:r>
      <w:r>
        <w:rPr>
          <w:rStyle w:val="a5"/>
          <w:sz w:val="36"/>
          <w:szCs w:val="36"/>
        </w:rPr>
        <w:footnoteReference w:id="3"/>
      </w:r>
    </w:p>
    <w:p>
      <w:pPr>
        <w:spacing w:after="140" w:line="340" w:lineRule="auto"/>
        <w:jc w:val="both"/>
      </w:pPr>
      <w:r>
        <w:rPr>
          <w:color w:val="1A1A1A"/>
          <w:sz w:val="36"/>
          <w:szCs w:val="36"/>
        </w:rPr>
        <w:t xml:space="preserve">وقد فقِهَ الصحابةُ ﵃ هذا المعنى؛ فقال ابنُ عمرَ ﵄: **ما أُبالي أن أشربَ الخمرَ أو أعبُدَ هذه السارية.**</w:t>
      </w:r>
      <w:r>
        <w:rPr>
          <w:rStyle w:val="a5"/>
          <w:sz w:val="36"/>
          <w:szCs w:val="36"/>
        </w:rPr>
        <w:footnoteReference w:id="4"/>
      </w:r>
    </w:p>
    <w:p>
      <w:pPr>
        <w:spacing w:before="260" w:after="120"/>
      </w:pPr>
      <w:r>
        <w:rPr>
          <w:b/>
          <w:bCs/>
          <w:color w:val="1F5C3A"/>
          <w:sz w:val="36"/>
          <w:szCs w:val="36"/>
        </w:rPr>
        <w:t xml:space="preserve">ثانيًا: آثارُها</w:t>
      </w:r>
    </w:p>
    <w:p>
      <w:pPr>
        <w:spacing w:before="200" w:after="100"/>
      </w:pPr>
      <w:r>
        <w:rPr>
          <w:b/>
          <w:bCs/>
          <w:color w:val="1A1A1A"/>
          <w:sz w:val="36"/>
          <w:szCs w:val="36"/>
        </w:rPr>
        <w:t xml:space="preserve">١) أنها مِفتاحُ كلِّ شرّ</w:t>
      </w:r>
    </w:p>
    <w:p>
      <w:pPr>
        <w:spacing w:after="140" w:line="340" w:lineRule="auto"/>
        <w:jc w:val="both"/>
      </w:pPr>
      <w:r>
        <w:rPr>
          <w:color w:val="1A1A1A"/>
          <w:sz w:val="36"/>
          <w:szCs w:val="36"/>
        </w:rPr>
        <w:t xml:space="preserve">قال أبو الدرداءِ ﵁: أوصاني خليلي ﷺ ألّا أُشرِكَ باللهِ شيئًا... **</w:t>
      </w:r>
      <w:r>
        <w:rPr>
          <w:b/>
          <w:bCs/>
          <w:color w:val="1F5C3A"/>
          <w:sz w:val="36"/>
          <w:szCs w:val="36"/>
        </w:rPr>
        <w:t xml:space="preserve">«ولا تشرَبِ الخمر؛ فإنها مفتاحُ كلِّ شرّ»</w:t>
      </w:r>
      <w:r>
        <w:rPr>
          <w:color w:val="1A1A1A"/>
          <w:sz w:val="36"/>
          <w:szCs w:val="36"/>
        </w:rPr>
        <w:t xml:space="preserve">**.</w:t>
      </w:r>
      <w:r>
        <w:rPr>
          <w:rStyle w:val="a5"/>
          <w:sz w:val="36"/>
          <w:szCs w:val="36"/>
        </w:rPr>
        <w:footnoteReference w:id="5"/>
      </w:r>
    </w:p>
    <w:p>
      <w:pPr>
        <w:spacing w:after="140" w:line="340" w:lineRule="auto"/>
        <w:jc w:val="both"/>
      </w:pPr>
      <w:r>
        <w:rPr>
          <w:color w:val="1A1A1A"/>
          <w:sz w:val="36"/>
          <w:szCs w:val="36"/>
        </w:rPr>
        <w:t xml:space="preserve">وجاء عن عثمانَ ﵁ خبَرُ رجلٍ خُيِّرَ بين أن يشربَ خمرًا أو يقتُلَ نفسًا أو يزنيَ، فاستهانَ بالخمرِ فاختارَها؛ فلمّا سكِرَ لم يترُكْ من ذلك شيئًا إلا فعلَه.</w:t>
      </w:r>
      <w:r>
        <w:rPr>
          <w:rStyle w:val="a5"/>
          <w:sz w:val="36"/>
          <w:szCs w:val="36"/>
        </w:rPr>
        <w:footnoteReference w:id="6"/>
      </w:r>
      <w:r>
        <w:rPr>
          <w:color w:val="1A1A1A"/>
          <w:sz w:val="36"/>
          <w:szCs w:val="36"/>
        </w:rPr>
        <w:t xml:space="preserve"> فإنّ مَناطَ التكليفِ العقل؛ فإن ذهبَ لم يُفرِّقِ العبدُ بين حلالٍ وحرام.</w:t>
      </w:r>
    </w:p>
    <w:p>
      <w:pPr>
        <w:spacing w:before="200" w:after="100"/>
      </w:pPr>
      <w:r>
        <w:rPr>
          <w:b/>
          <w:bCs/>
          <w:color w:val="1A1A1A"/>
          <w:sz w:val="36"/>
          <w:szCs w:val="36"/>
        </w:rPr>
        <w:t xml:space="preserve">٢) أنها بابٌ إلى أعظمِ الجرائم</w:t>
      </w:r>
    </w:p>
    <w:p>
      <w:pPr>
        <w:spacing w:after="140" w:line="340" w:lineRule="auto"/>
        <w:jc w:val="both"/>
      </w:pPr>
      <w:r>
        <w:rPr>
          <w:color w:val="1A1A1A"/>
          <w:sz w:val="36"/>
          <w:szCs w:val="36"/>
        </w:rPr>
        <w:t xml:space="preserve">فواللهِ إنّ القلبَ لَيتقطَّعُ حين يُسألُ عن وقائعَ في المحارم؛ ومن أعظمِ أسبابِها ذَهابُ العقلِ بالمُسكِر. وقد جاء عن عليٍّ ﵁ قولُه: **تغيَّرَ دينُ المجوسِ بشَربةِ خمر** ـ في إشارةٍ إلى ما استحلُّوه بعدُ من نكاحِ المحارم.</w:t>
      </w:r>
      <w:r>
        <w:rPr>
          <w:rStyle w:val="a5"/>
          <w:sz w:val="36"/>
          <w:szCs w:val="36"/>
        </w:rPr>
        <w:footnoteReference w:id="7"/>
      </w:r>
    </w:p>
    <w:p>
      <w:pPr>
        <w:spacing w:after="140" w:line="340" w:lineRule="auto"/>
        <w:jc w:val="both"/>
      </w:pPr>
      <w:r>
        <w:rPr>
          <w:color w:val="1A1A1A"/>
          <w:sz w:val="36"/>
          <w:szCs w:val="36"/>
        </w:rPr>
        <w:t xml:space="preserve">ولو فتَّشْنا اليومَ عن أسبابِ أكثرِ الجرائمِ لوجَدْنا وراءَ كثيرٍ منها حبَّةً أو كأسًا.</w:t>
      </w:r>
    </w:p>
    <w:p>
      <w:pPr>
        <w:spacing w:before="200" w:after="100"/>
      </w:pPr>
      <w:r>
        <w:rPr>
          <w:b/>
          <w:bCs/>
          <w:color w:val="1A1A1A"/>
          <w:sz w:val="36"/>
          <w:szCs w:val="36"/>
        </w:rPr>
        <w:t xml:space="preserve">٣) الوعيدُ بحِرمانِ الجنَّة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«لا يدخُلُ الجنةَ مُدمِنُ خمر»</w:t>
      </w:r>
      <w:r>
        <w:rPr>
          <w:rStyle w:val="a5"/>
          <w:sz w:val="36"/>
          <w:szCs w:val="36"/>
        </w:rPr>
        <w:footnoteReference w:id="8"/>
      </w:r>
    </w:p>
    <w:p>
      <w:pPr>
        <w:spacing w:after="140" w:line="340" w:lineRule="auto"/>
        <w:jc w:val="both"/>
      </w:pPr>
      <w:r>
        <w:rPr>
          <w:color w:val="1A1A1A"/>
          <w:sz w:val="36"/>
          <w:szCs w:val="36"/>
        </w:rPr>
        <w:t xml:space="preserve">**ومَحمَلُ هذا الوعيدِ** عند أهلِ السنَّة ـ كسائرِ نصوصِ الوعيدِ في الكبائرِ دون الشِّرك ـ أنه لا يدخُلُها مع أوَّلِ الداخلين، أو أنه تحت المشيئة؛ لا أنه مُخلَّدٌ خلودَ الكفّار.</w:t>
      </w:r>
    </w:p>
    <w:p>
      <w:pPr>
        <w:spacing w:before="200" w:after="100"/>
      </w:pPr>
      <w:r>
        <w:rPr>
          <w:b/>
          <w:bCs/>
          <w:color w:val="1A1A1A"/>
          <w:sz w:val="36"/>
          <w:szCs w:val="36"/>
        </w:rPr>
        <w:t xml:space="preserve">٤) مَحشرٌ مُفزِعٌ وطينةُ الخَبال</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«مُدمِنُ الخمرِ كعابدِ وَثَن»</w:t>
      </w:r>
      <w:r>
        <w:rPr>
          <w:rStyle w:val="a5"/>
          <w:sz w:val="36"/>
          <w:szCs w:val="36"/>
        </w:rPr>
        <w:footnoteReference w:id="9"/>
      </w:r>
    </w:p>
    <w:p>
      <w:pPr>
        <w:spacing w:after="140" w:line="340" w:lineRule="auto"/>
        <w:jc w:val="both"/>
      </w:pPr>
      <w:r>
        <w:rPr>
          <w:color w:val="1A1A1A"/>
          <w:sz w:val="36"/>
          <w:szCs w:val="36"/>
        </w:rPr>
        <w:t xml:space="preserve">**ولا نُكفِّرُه** ـ فالخمرُ كبيرةٌ لا تُخرِجُ من الملَّة ـ ولكنّه مَحشرٌ قبيح. وقال ﷺ:</w:t>
      </w:r>
    </w:p>
    <w:p>
      <w:pPr>
        <w:pBdr>
          <w:right w:val="single" w:sz="12" w:space="10" w:color="8A6A1F"/>
        </w:pBdr>
        <w:spacing w:before="120" w:after="160" w:line="320" w:lineRule="auto"/>
        <w:ind w:left="504" w:right="504"/>
        <w:jc w:val="both"/>
      </w:pPr>
      <w:r>
        <w:rPr>
          <w:b/>
          <w:bCs/>
          <w:color w:val="1F5C3A"/>
          <w:sz w:val="36"/>
          <w:szCs w:val="36"/>
        </w:rPr>
        <w:t xml:space="preserve">«إنّ على اللهِ عهدًا لمن شرِبَ المُسكِرَ أن يَسقيَه من طينةِ الخَبال»</w:t>
      </w:r>
      <w:r>
        <w:rPr>
          <w:b/>
          <w:bCs/>
          <w:color w:val="1F5C3A"/>
          <w:sz w:val="36"/>
          <w:szCs w:val="36"/>
        </w:rPr>
        <w:t xml:space="preserve">. قالوا: يا رسولَ الله، وما طينةُ الخَبال؟ قال: </w:t>
      </w:r>
      <w:r>
        <w:rPr>
          <w:b/>
          <w:bCs/>
          <w:color w:val="1F5C3A"/>
          <w:sz w:val="36"/>
          <w:szCs w:val="36"/>
        </w:rPr>
        <w:t xml:space="preserve">«عَرَقُ أهلِ النار ـ أو عُصارةُ أهلِ النار»</w:t>
      </w:r>
      <w:r>
        <w:rPr>
          <w:rStyle w:val="a5"/>
          <w:sz w:val="36"/>
          <w:szCs w:val="36"/>
        </w:rPr>
        <w:footnoteReference w:id="10"/>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فكيف العلاج؟</w:t>
      </w:r>
    </w:p>
    <w:p>
      <w:pPr>
        <w:spacing w:before="260" w:after="120"/>
      </w:pPr>
      <w:r>
        <w:rPr>
          <w:b/>
          <w:bCs/>
          <w:color w:val="1F5C3A"/>
          <w:sz w:val="36"/>
          <w:szCs w:val="36"/>
        </w:rPr>
        <w:t xml:space="preserve">ثالثًا: العِلاج</w:t>
      </w:r>
    </w:p>
    <w:p>
      <w:pPr>
        <w:spacing w:before="200" w:after="100"/>
      </w:pPr>
      <w:r>
        <w:rPr>
          <w:b/>
          <w:bCs/>
          <w:color w:val="1A1A1A"/>
          <w:sz w:val="36"/>
          <w:szCs w:val="36"/>
        </w:rPr>
        <w:t xml:space="preserve">١) إقامةُ شرعِ اللهِ في هذا الباب</w:t>
      </w:r>
    </w:p>
    <w:p>
      <w:pPr>
        <w:spacing w:after="140" w:line="340" w:lineRule="auto"/>
        <w:jc w:val="both"/>
      </w:pPr>
      <w:r>
        <w:rPr>
          <w:color w:val="1A1A1A"/>
          <w:sz w:val="36"/>
          <w:szCs w:val="36"/>
        </w:rPr>
        <w:t xml:space="preserve">فقد جعلَ اللهُ لشاربِ المُسكِرِ حدًّا في الشريعة، **تُقيمُه السلطةُ صاحبةُ الولايةِ عبرَ قضائِها بشروطِه المعروفةِ عند الفقهاء، لا آحادُ الناس**؛ ودَرءُ الحدودِ بالشُّبُهاتِ أصلٌ مُقرَّرٌ عندهم.</w:t>
      </w:r>
    </w:p>
    <w:p>
      <w:pPr>
        <w:spacing w:after="140" w:line="340" w:lineRule="auto"/>
        <w:jc w:val="both"/>
      </w:pPr>
      <w:r>
        <w:rPr>
          <w:color w:val="1A1A1A"/>
          <w:sz w:val="36"/>
          <w:szCs w:val="36"/>
        </w:rPr>
        <w:t xml:space="preserve">وإني لَأعجَبُ من أمَّةٍ تُحارِبُ المخدِّراتِ وبابُ الخمّارةِ مفتوح! فإنّ الخمرَ أشدُّ فتكًا؛ وهي **أمُّ الخبائث**.</w:t>
      </w:r>
    </w:p>
    <w:p>
      <w:pPr>
        <w:spacing w:before="200" w:after="100"/>
      </w:pPr>
      <w:r>
        <w:rPr>
          <w:b/>
          <w:bCs/>
          <w:color w:val="1A1A1A"/>
          <w:sz w:val="36"/>
          <w:szCs w:val="36"/>
        </w:rPr>
        <w:t xml:space="preserve">٢) المُبادَرةُ إلى التوبةِ الفوريَّة</w:t>
      </w:r>
    </w:p>
    <w:p>
      <w:pPr>
        <w:spacing w:after="140" w:line="340" w:lineRule="auto"/>
        <w:jc w:val="both"/>
      </w:pPr>
      <w:r>
        <w:rPr>
          <w:color w:val="1A1A1A"/>
          <w:sz w:val="36"/>
          <w:szCs w:val="36"/>
        </w:rPr>
        <w:t xml:space="preserve">فلْيَكُنْ حالُك حالَ الصحابةِ ﵃؛ يقولُ أنسٌ ﵁: لمّا حُرِّمَتِ الخمرُ نادى مُنادي رسولِ اللهِ ﷺ: **ألا إنّ الخمرَ قد حُرِّمَت**؛ فمنهم من كان كأسُه في يدِه، ومنهم من التقمَه بشفتَيه ـ فألقَوا ما في أيديهم حتى **جرَتْ أزِقَّةُ المدينةِ بالخمر**.</w:t>
      </w:r>
      <w:r>
        <w:rPr>
          <w:rStyle w:val="a5"/>
          <w:sz w:val="36"/>
          <w:szCs w:val="36"/>
        </w:rPr>
        <w:footnoteReference w:id="11"/>
      </w:r>
      <w:r>
        <w:rPr>
          <w:color w:val="1A1A1A"/>
          <w:sz w:val="36"/>
          <w:szCs w:val="36"/>
        </w:rPr>
        <w:t xml:space="preserve"> استجابةٌ فوريَّةٌ لأمرِ الله!</w:t>
      </w:r>
    </w:p>
    <w:p>
      <w:pPr>
        <w:spacing w:after="140" w:line="340" w:lineRule="auto"/>
        <w:jc w:val="both"/>
      </w:pPr>
      <w:r>
        <w:rPr>
          <w:color w:val="1A1A1A"/>
          <w:sz w:val="36"/>
          <w:szCs w:val="36"/>
        </w:rPr>
        <w:t xml:space="preserve">وبابُ التوبةِ مفتوحٌ لا يملِكُ أحدٌ إغلاقَه: </w:t>
      </w:r>
      <w:r>
        <w:rPr>
          <w:b/>
          <w:bCs/>
          <w:color w:val="8A6A1F"/>
          <w:sz w:val="36"/>
          <w:szCs w:val="36"/>
        </w:rPr>
        <w:t xml:space="preserve">﴿قُلْ يَا عِبَادِيَ الَّذِينَ أَسْرَفُوا عَلَىٰ أَنفُسِهِمْ لَا تَقْنَطُوا مِن رَّحْمَةِ اللَّهِ﴾</w:t>
      </w:r>
      <w:r>
        <w:rPr>
          <w:color w:val="1A1A1A"/>
          <w:sz w:val="36"/>
          <w:szCs w:val="36"/>
        </w:rPr>
        <w:t xml:space="preserve">؛ ولكنْ بادِرْ قبل موعِدِ الإغلاقِ الذي لا يعلمُه أحد.</w:t>
      </w:r>
    </w:p>
    <w:p>
      <w:pPr>
        <w:spacing w:before="200" w:after="100"/>
      </w:pPr>
      <w:r>
        <w:rPr>
          <w:b/>
          <w:bCs/>
          <w:color w:val="1A1A1A"/>
          <w:sz w:val="36"/>
          <w:szCs w:val="36"/>
        </w:rPr>
        <w:t xml:space="preserve">٣) اجتنابُ صاحبِ السوء</w:t>
      </w:r>
    </w:p>
    <w:p>
      <w:pPr>
        <w:spacing w:after="140" w:line="340" w:lineRule="auto"/>
        <w:jc w:val="both"/>
      </w:pPr>
      <w:r>
        <w:rPr>
          <w:color w:val="1A1A1A"/>
          <w:sz w:val="36"/>
          <w:szCs w:val="36"/>
        </w:rPr>
        <w:t xml:space="preserve">فيا وليَّ الأمر، أيها الأب: انتبِهْ لولدِك؛ **مع من يجلِس؟ ومع من يسهَر؟** فإنّ صاحبَ السوءِ من أعظمِ أسبابِ انتشارِ هذه الآفة. وأنت مسؤولٌ عنه؛ قال ﷺ: **</w:t>
      </w:r>
      <w:r>
        <w:rPr>
          <w:b/>
          <w:bCs/>
          <w:color w:val="1F5C3A"/>
          <w:sz w:val="36"/>
          <w:szCs w:val="36"/>
        </w:rPr>
        <w:t xml:space="preserve">«كلُّكم راعٍ وكلُّكم مسؤولٌ عن رعيَّتِه»</w:t>
      </w:r>
      <w:r>
        <w:rPr>
          <w:color w:val="1A1A1A"/>
          <w:sz w:val="36"/>
          <w:szCs w:val="36"/>
        </w:rPr>
        <w:t xml:space="preserve">**.</w:t>
      </w:r>
      <w:r>
        <w:rPr>
          <w:rStyle w:val="a5"/>
          <w:sz w:val="36"/>
          <w:szCs w:val="36"/>
        </w:rPr>
        <w:footnoteReference w:id="12"/>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بعِزَّتِه وجَبَروتِه، وبعفوِه ومَنِّه وكرمِه، أن يُطهِّرَ قلوبَنا وجوارحَنا ومجتمعاتِنا من المخدِّراتِ والخمور، وأن يُعافيَ من ابتُليَ بها؛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ابن مسعود ﵁؛ ذكرَه الطبريُّ وابنُ كثيرٍ في مُقدِّماتِ التفسير.</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ابن عمر ﵄؛ وقصةُ «المِزْر» عند البخاريِّ ومسلمٍ من حديث أبي موسى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وابنُ ماجه من حديث جابرٍ وعائشةَ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عبد الله بن عمر ﵄؛ أخرجه النسائيُّ في «الكبرى»، ورُويَ نحوُه عن أبي موسى الأشعريِّ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من حديث أبي الدرداء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عثمان بن عفان ﵁؛ أخرجه النسائيُّ في «الكبرى» والبيهقيُّ موقوفًا.</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عليٍّ ﵁ في كتبِ الآثار.</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وأحمدُ من حديث أبي هريرة وابنِ عمرَ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وأحمدُ من حديث أبي هريرة ﵁، وحسَّنه الألباني.</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بن عبد الله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