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العدلُ بين الأولاد</w:t>
      </w:r>
    </w:p>
    <w:p>
      <w:pPr>
        <w:spacing w:after="120"/>
      </w:pPr>
      <w:r>
        <w:rPr>
          <w:color w:val="8A6A1F"/>
          <w:sz w:val="36"/>
          <w:szCs w:val="36"/>
        </w:rPr>
        <w:t xml:space="preserve">العدلُ في النفقةِ والعطية، والعدلُ في المعاملةِ والمحبة</w:t>
      </w:r>
    </w:p>
    <w:p>
      <w:pPr>
        <w:pBdr>
          <w:top w:val="single" w:sz="6" w:space="8" w:color="8A6A1F"/>
        </w:pBdr>
        <w:spacing w:after="60"/>
      </w:pPr>
      <w:r>
        <w:rPr>
          <w:color w:val="555555"/>
          <w:sz w:val="36"/>
          <w:szCs w:val="36"/>
        </w:rPr>
        <w:t xml:space="preserve">خُطبةُ جُمُعة | د. عماد بن يونس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الوالدُ الجائر</w:t>
      </w:r>
    </w:p>
    <w:p>
      <w:pPr>
        <w:spacing w:after="140" w:line="340" w:lineRule="auto"/>
        <w:jc w:val="both"/>
      </w:pPr>
      <w:r>
        <w:rPr>
          <w:color w:val="1A1A1A"/>
          <w:sz w:val="36"/>
          <w:szCs w:val="36"/>
        </w:rPr>
        <w:t xml:space="preserve">وبعدُ، أحبَّتي في الله، معاشرَ المصلِّين: والدٌ أشعلَ نارَ الفتنةِ في بيتِه وجعلَ وَقودَها قلوبَ أبنائِه، وأُمٌّ أشعلَتِ الفتنةَ في بيتِها وجعلَتْ حطَبَها قلوبَ أولادِها. فمن هذا الجائرُ ومن هذه الجائرة؟ إنهما الأبُ والأمُّ اللذان لم يُطبِّقا وصيَّةَ اللهِ في الأولاد، فلم يُحقِّقا العدلَ الذي به قامتِ السماواتُ والأرض.</w:t>
      </w:r>
    </w:p>
    <w:p>
      <w:pPr>
        <w:spacing w:after="140" w:line="340" w:lineRule="auto"/>
        <w:jc w:val="both"/>
      </w:pPr>
      <w:r>
        <w:rPr>
          <w:color w:val="1A1A1A"/>
          <w:sz w:val="36"/>
          <w:szCs w:val="36"/>
        </w:rPr>
        <w:t xml:space="preserve">إنّ المتأمِّلَ في حالِ بيوتِنا اليومَ يقفُ على حقيقةٍ مُرَّةٍ وواقعٍ أليمٍ يُنبئُ بشرٍّ عظيم: ألا وهو الجَورُ وتركُ العدلِ بين الأبناء. فهذا أبٌ يُحابي فلانًا على حسابِ فلان، وأمٌّ تُقدِّمُ واحدًا وتُؤخِّرُ آخَر؛ فتشتعِلُ في القلوبِ نارٌ لا يعلمُ خطَرَها إلا الله، فيَحقِدون ويَحسُدون، ولأرحامِهم يقطَعون، وإنّا للهِ وإنّا إليه راجعون.</w:t>
      </w:r>
    </w:p>
    <w:p>
      <w:pPr>
        <w:spacing w:after="140" w:line="340" w:lineRule="auto"/>
        <w:jc w:val="both"/>
      </w:pPr>
      <w:r>
        <w:rPr>
          <w:color w:val="1A1A1A"/>
          <w:sz w:val="36"/>
          <w:szCs w:val="36"/>
        </w:rPr>
        <w:t xml:space="preserve">فحديثي إليكم اليومَ عن العدلِ بين الأبناء: صُوَرِه، وأهمِّيَّتِه، وخطورةِ تركِه؛ فأقولُ مستعينًا بالله.</w:t>
      </w:r>
    </w:p>
    <w:p>
      <w:pPr>
        <w:spacing w:before="260" w:after="120"/>
      </w:pPr>
      <w:r>
        <w:rPr>
          <w:b/>
          <w:bCs/>
          <w:color w:val="1F5C3A"/>
          <w:sz w:val="36"/>
          <w:szCs w:val="36"/>
        </w:rPr>
        <w:t xml:space="preserve">أولًا: العدلُ في النفقةِ والعطيَّة</w:t>
      </w:r>
    </w:p>
    <w:p>
      <w:pPr>
        <w:spacing w:after="140" w:line="340" w:lineRule="auto"/>
        <w:jc w:val="both"/>
      </w:pPr>
      <w:r>
        <w:rPr>
          <w:color w:val="1A1A1A"/>
          <w:sz w:val="36"/>
          <w:szCs w:val="36"/>
        </w:rPr>
        <w:t xml:space="preserve">اعلَمْ أيها الحبيبُ أنّ الأبَ واجبٌ عليه ومسؤولٌ عنه بين يدَيِ اللهِ أن يكونَ عادلًا في نفقتِه بين أولادِه ذكورًا وإناثًا، دون مُحاباةِ أحدٍ على حسابِ أحد. وكذلك الأمُّ إن كانت تُنفِقُ وتُعطي من مالِها؛ فالواجبُ أن تكونَ عادلةً في النفقةِ والعطية، من مأكلٍ أو مشربٍ أو ملبسٍ أو مسكن، على وجهِ العدلِ والإحسانِ لا على وجهِ الجَورِ والعُدوان.</w:t>
      </w:r>
    </w:p>
    <w:p>
      <w:pPr>
        <w:spacing w:after="140" w:line="340" w:lineRule="auto"/>
        <w:jc w:val="both"/>
      </w:pPr>
      <w:r>
        <w:rPr>
          <w:color w:val="1A1A1A"/>
          <w:sz w:val="36"/>
          <w:szCs w:val="36"/>
        </w:rPr>
        <w:t xml:space="preserve">ونحن اليومَ ـ للأسفِ الشديد ـ نُجامِلُ في النفقةِ الواجبةِ في أعناقِنا! لا أقولُ في العطايا ولا في الهدايا ولا في فضلِ المالِ الزائد، بل ـ وربي ـ في أصلِ النفقةِ التي في عُنُقِك.</w:t>
      </w:r>
    </w:p>
    <w:p>
      <w:pPr>
        <w:spacing w:before="200" w:after="100"/>
      </w:pPr>
      <w:r>
        <w:rPr>
          <w:b/>
          <w:bCs/>
          <w:color w:val="1A1A1A"/>
          <w:sz w:val="36"/>
          <w:szCs w:val="36"/>
        </w:rPr>
        <w:t xml:space="preserve">حديثُ النعمانِ بنِ بشيرٍ ﵄</w:t>
      </w:r>
    </w:p>
    <w:p>
      <w:pPr>
        <w:spacing w:after="140" w:line="340" w:lineRule="auto"/>
        <w:jc w:val="both"/>
      </w:pPr>
      <w:r>
        <w:rPr>
          <w:color w:val="1A1A1A"/>
          <w:sz w:val="36"/>
          <w:szCs w:val="36"/>
        </w:rPr>
        <w:t xml:space="preserve">وفي </w:t>
      </w:r>
      <w:r>
        <w:rPr>
          <w:b/>
          <w:bCs/>
          <w:color w:val="1F5C3A"/>
          <w:sz w:val="36"/>
          <w:szCs w:val="36"/>
        </w:rPr>
        <w:t xml:space="preserve">«الصحيحين»</w:t>
      </w:r>
      <w:r>
        <w:rPr>
          <w:color w:val="1A1A1A"/>
          <w:sz w:val="36"/>
          <w:szCs w:val="36"/>
        </w:rPr>
        <w:t xml:space="preserve"> من حديث النعمانِ بنِ بشيرٍ ﵄ ـ وهو أوَّلُ مولودٍ وُلِدَ للأنصارِ بعد الهجرة ـ قال: تصدَّقَ عليَّ أبي ببعضِ مالِه، فقالت أمي عَمرةُ بنتُ رَواحة: لا أرضى حتى تُشهِدَ رسولَ اللهِ ﷺ. فانطلقَ أبي إلى النبيِّ ﷺ ليُشهِدَه على صدقتي، فقال له ﷺ:</w:t>
      </w:r>
    </w:p>
    <w:p>
      <w:pPr>
        <w:pBdr>
          <w:right w:val="single" w:sz="12" w:space="10" w:color="8A6A1F"/>
        </w:pBdr>
        <w:spacing w:before="120" w:after="160" w:line="320" w:lineRule="auto"/>
        <w:ind w:left="504" w:right="504"/>
        <w:jc w:val="both"/>
      </w:pPr>
      <w:r>
        <w:rPr>
          <w:b/>
          <w:bCs/>
          <w:color w:val="1F5C3A"/>
          <w:sz w:val="36"/>
          <w:szCs w:val="36"/>
        </w:rPr>
        <w:t xml:space="preserve">«أَكُلَّ ولدِك نحَلْتَ مثلَه؟»</w:t>
      </w:r>
    </w:p>
    <w:p>
      <w:pPr>
        <w:spacing w:after="140" w:line="340" w:lineRule="auto"/>
        <w:jc w:val="both"/>
      </w:pPr>
      <w:r>
        <w:rPr>
          <w:color w:val="1A1A1A"/>
          <w:sz w:val="36"/>
          <w:szCs w:val="36"/>
        </w:rPr>
        <w:t xml:space="preserve">قال: لا. قال:</w:t>
      </w:r>
    </w:p>
    <w:p>
      <w:pPr>
        <w:pBdr>
          <w:right w:val="single" w:sz="12" w:space="10" w:color="8A6A1F"/>
        </w:pBdr>
        <w:spacing w:before="120" w:after="160" w:line="320" w:lineRule="auto"/>
        <w:ind w:left="504" w:right="504"/>
        <w:jc w:val="both"/>
      </w:pPr>
      <w:r>
        <w:rPr>
          <w:b/>
          <w:bCs/>
          <w:color w:val="1F5C3A"/>
          <w:sz w:val="36"/>
          <w:szCs w:val="36"/>
        </w:rPr>
        <w:t xml:space="preserve">«اتَّقوا اللهَ واعدِلوا في أولادِكم»</w:t>
      </w:r>
    </w:p>
    <w:p>
      <w:pPr>
        <w:spacing w:after="140" w:line="340" w:lineRule="auto"/>
        <w:jc w:val="both"/>
      </w:pPr>
      <w:r>
        <w:rPr>
          <w:color w:val="1A1A1A"/>
          <w:sz w:val="36"/>
          <w:szCs w:val="36"/>
        </w:rPr>
        <w:t xml:space="preserve">فرجعَ أبي فردَّ تلك الصدقة. وفي لفظ: </w:t>
      </w:r>
      <w:r>
        <w:rPr>
          <w:b/>
          <w:bCs/>
          <w:color w:val="1F5C3A"/>
          <w:sz w:val="36"/>
          <w:szCs w:val="36"/>
        </w:rPr>
        <w:t xml:space="preserve">«فلا تُشهِدْني إذًا، فإني لا أشهدُ على جَور»</w:t>
      </w:r>
      <w:r>
        <w:rPr>
          <w:color w:val="1A1A1A"/>
          <w:sz w:val="36"/>
          <w:szCs w:val="36"/>
        </w:rPr>
        <w:t xml:space="preserve">. وفي لفظ: </w:t>
      </w:r>
      <w:r>
        <w:rPr>
          <w:b/>
          <w:bCs/>
          <w:color w:val="1F5C3A"/>
          <w:sz w:val="36"/>
          <w:szCs w:val="36"/>
        </w:rPr>
        <w:t xml:space="preserve">«أَشهِدْ على هذا غيري»</w:t>
      </w:r>
      <w:r>
        <w:rPr>
          <w:color w:val="1A1A1A"/>
          <w:sz w:val="36"/>
          <w:szCs w:val="36"/>
        </w:rPr>
        <w:t xml:space="preserve">. وفي لفظ: </w:t>
      </w:r>
      <w:r>
        <w:rPr>
          <w:b/>
          <w:bCs/>
          <w:color w:val="1F5C3A"/>
          <w:sz w:val="36"/>
          <w:szCs w:val="36"/>
        </w:rPr>
        <w:t xml:space="preserve">«أيسُرُّك أن يكونوا إليك في البِرِّ سواء؟»</w:t>
      </w:r>
      <w:r>
        <w:rPr>
          <w:color w:val="1A1A1A"/>
          <w:sz w:val="36"/>
          <w:szCs w:val="36"/>
        </w:rPr>
        <w:t xml:space="preserve"> قال: بلى. قال: </w:t>
      </w:r>
      <w:r>
        <w:rPr>
          <w:b/>
          <w:bCs/>
          <w:color w:val="1F5C3A"/>
          <w:sz w:val="36"/>
          <w:szCs w:val="36"/>
        </w:rPr>
        <w:t xml:space="preserve">«فلا إذًا»</w:t>
      </w:r>
      <w:r>
        <w:rPr>
          <w:color w:val="1A1A1A"/>
          <w:sz w:val="36"/>
          <w:szCs w:val="36"/>
        </w:rPr>
        <w:t xml:space="preserve">.</w:t>
      </w:r>
      <w:r>
        <w:rPr>
          <w:rStyle w:val="a5"/>
          <w:sz w:val="36"/>
          <w:szCs w:val="36"/>
        </w:rPr>
        <w:footnoteReference w:id="1"/>
      </w:r>
    </w:p>
    <w:p>
      <w:pPr>
        <w:spacing w:after="140" w:line="340" w:lineRule="auto"/>
        <w:jc w:val="both"/>
      </w:pPr>
      <w:r>
        <w:rPr>
          <w:color w:val="1A1A1A"/>
          <w:sz w:val="36"/>
          <w:szCs w:val="36"/>
        </w:rPr>
        <w:t xml:space="preserve">فتأمَّلْ يا كرام: النبيُّ ﷺ الذي أرسلَه اللهُ رحمةً للعالمين يُحقِّقُ العدلَ في أدقِّ تفاصيلِه، ويُسمِّي تفضيلَ بعضِ الولدِ على بعضٍ **جَورًا**، ويأبى أن يشهدَ عليه!</w:t>
      </w:r>
    </w:p>
    <w:p>
      <w:pPr>
        <w:spacing w:after="140" w:line="340" w:lineRule="auto"/>
        <w:jc w:val="both"/>
      </w:pPr>
      <w:r>
        <w:rPr>
          <w:color w:val="1A1A1A"/>
          <w:sz w:val="36"/>
          <w:szCs w:val="36"/>
        </w:rPr>
        <w:t xml:space="preserve">ثم انظُرْ إلى الحقيقةِ التي نَغفُلُ عنها وحساباتُنا ماديَّة: </w:t>
      </w:r>
      <w:r>
        <w:rPr>
          <w:b/>
          <w:bCs/>
          <w:color w:val="1F5C3A"/>
          <w:sz w:val="36"/>
          <w:szCs w:val="36"/>
        </w:rPr>
        <w:t xml:space="preserve">«أيسُرُّك أن يكونوا إليك في البِرِّ سواء؟»</w:t>
      </w:r>
      <w:r>
        <w:rPr>
          <w:color w:val="1A1A1A"/>
          <w:sz w:val="36"/>
          <w:szCs w:val="36"/>
        </w:rPr>
        <w:t xml:space="preserve"> ـ فمن أرادَ بِرَّ أولادِه جميعًا فليَعدِلْ بينهم جميعًا. فيا من تُقدِّمُ المتعلِّمَ وصاحبَ الشهادةِ على ذاك الذي ما كُتِبَ له التوفيقُ في دراستِه وهو بارٌّ مُحسِن، ويا من تُقدِّمُ البارَّ على العاقّ: اسمَعْ ما يقولُ لك نبيُّك ﷺ.</w:t>
      </w:r>
    </w:p>
    <w:p>
      <w:pPr>
        <w:spacing w:before="200" w:after="100"/>
      </w:pPr>
      <w:r>
        <w:rPr>
          <w:b/>
          <w:bCs/>
          <w:color w:val="1A1A1A"/>
          <w:sz w:val="36"/>
          <w:szCs w:val="36"/>
        </w:rPr>
        <w:t xml:space="preserve">الوصيَّةُ الجائرة</w:t>
      </w:r>
    </w:p>
    <w:p>
      <w:pPr>
        <w:spacing w:after="140" w:line="340" w:lineRule="auto"/>
        <w:jc w:val="both"/>
      </w:pPr>
      <w:r>
        <w:rPr>
          <w:color w:val="1A1A1A"/>
          <w:sz w:val="36"/>
          <w:szCs w:val="36"/>
        </w:rPr>
        <w:t xml:space="preserve">ومن الصورِ المؤلمةِ التي تَئِنُّ منها بيوتُنا: ذلك الجَورُ الذي يفعلُه بعضُ الآباءِ في تقسيمِ أموالِهم في حياتِهم على الذكورِ دون الإناث. وربي، تُطرَحُ علينا هذه المسألةُ مرّاتٍ وكرّات؛ تقولُ البنتُ المسكينةُ ـ وهي أبَرُّ من إخوتِها ـ: أعطى الأولادَ وحرَمَ البنات!</w:t>
      </w:r>
    </w:p>
    <w:p>
      <w:pPr>
        <w:spacing w:after="140" w:line="340" w:lineRule="auto"/>
        <w:jc w:val="both"/>
      </w:pPr>
      <w:r>
        <w:rPr>
          <w:color w:val="1A1A1A"/>
          <w:sz w:val="36"/>
          <w:szCs w:val="36"/>
        </w:rPr>
        <w:t xml:space="preserve">أيها المسلمُ، إنّ اللهَ قد أعطى كلَّ ذي حقٍّ حقَّه؛ قال ﷺ:</w:t>
      </w:r>
    </w:p>
    <w:p>
      <w:pPr>
        <w:pBdr>
          <w:right w:val="single" w:sz="12" w:space="10" w:color="8A6A1F"/>
        </w:pBdr>
        <w:spacing w:before="120" w:after="160" w:line="320" w:lineRule="auto"/>
        <w:ind w:left="504" w:right="504"/>
        <w:jc w:val="both"/>
      </w:pPr>
      <w:r>
        <w:rPr>
          <w:b/>
          <w:bCs/>
          <w:color w:val="1F5C3A"/>
          <w:sz w:val="36"/>
          <w:szCs w:val="36"/>
        </w:rPr>
        <w:t xml:space="preserve">«إنّ اللهَ قد أعطى كلَّ ذي حقٍّ حقَّه، فلا وصيَّةَ لوارث»</w:t>
      </w:r>
      <w:r>
        <w:rPr>
          <w:rStyle w:val="a5"/>
          <w:sz w:val="36"/>
          <w:szCs w:val="36"/>
        </w:rPr>
        <w:footnoteReference w:id="2"/>
      </w:r>
    </w:p>
    <w:p>
      <w:pPr>
        <w:spacing w:after="140" w:line="340" w:lineRule="auto"/>
        <w:jc w:val="both"/>
      </w:pPr>
      <w:r>
        <w:rPr>
          <w:color w:val="1A1A1A"/>
          <w:sz w:val="36"/>
          <w:szCs w:val="36"/>
        </w:rPr>
        <w:t xml:space="preserve">فيَحرُمُ عليك أن تُخِصَّ الذكورَ دون الإناث. بل أزيدُكم: إنّ جماعةً من أهلِ العلمِ ذهبوا إلى أنّ العطيَّةَ في الحياةِ تكونُ بالتسويةِ بين الذكرِ والأنثى، وذهبَ آخَرون إلى أنها تكونُ على قسمةِ الميراث </w:t>
      </w:r>
      <w:r>
        <w:rPr>
          <w:b/>
          <w:bCs/>
          <w:color w:val="8A6A1F"/>
          <w:sz w:val="36"/>
          <w:szCs w:val="36"/>
        </w:rPr>
        <w:t xml:space="preserve">﴿لِلذَّكَرِ مِثْلُ حَظِّ الْأُنثَيَيْنِ﴾</w:t>
      </w:r>
      <w:r>
        <w:rPr>
          <w:color w:val="1A1A1A"/>
          <w:sz w:val="36"/>
          <w:szCs w:val="36"/>
        </w:rPr>
        <w:t xml:space="preserve">؛ فأمّا الميراثُ بعد الموتِ فقسمتُه محكَمةٌ بنصِّ القرآن، وأمّا في حياتِك فاتَّقِ اللهَ وكُنْ عادلًا.</w:t>
      </w:r>
      <w:r>
        <w:rPr>
          <w:rStyle w:val="a5"/>
          <w:sz w:val="36"/>
          <w:szCs w:val="36"/>
        </w:rPr>
        <w:footnoteReference w:id="3"/>
      </w:r>
    </w:p>
    <w:p>
      <w:pPr>
        <w:spacing w:after="140" w:line="340" w:lineRule="auto"/>
        <w:jc w:val="both"/>
      </w:pPr>
      <w:r>
        <w:rPr>
          <w:color w:val="1A1A1A"/>
          <w:sz w:val="36"/>
          <w:szCs w:val="36"/>
        </w:rPr>
        <w:t xml:space="preserve">وإيّاك أن تُقيمَ للنفقةِ والعطيَّةِ معاييرَ لا وزنَ لها عند الله؛ فتخُصَّ صاحبَ الشأنِ في الدنيا وتحرِمَ غيرَه. فإنك بذلك زِدتَ العاقَّ عقوقًا، وزِدتَ البارَّ كِبرًا وعُجبًا إن لم يرحَمْه الله.</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ثانيًا: العدلُ في المعاملةِ والمحبَّة</w:t>
      </w:r>
    </w:p>
    <w:p>
      <w:pPr>
        <w:spacing w:after="140" w:line="340" w:lineRule="auto"/>
        <w:jc w:val="both"/>
      </w:pPr>
      <w:r>
        <w:rPr>
          <w:color w:val="1A1A1A"/>
          <w:sz w:val="36"/>
          <w:szCs w:val="36"/>
        </w:rPr>
        <w:t xml:space="preserve">فمن صورِ العدلِ بين الأبناءِ ذكورًا وإناثًا أن تكونَ عادلًا في المعاملة: في المحبَّةِ والإكرامِ والمودَّةِ وجميعِ صورِ المعاملةِ الحُسنى. احرِصْ ـ أيها الحبيبُ ـ أن تكونَ مُحقِّقًا للعدلِ في بيتِك، حتى في القُبلةِ التي تتحرَّكُ بها شفتاك.</w:t>
      </w:r>
    </w:p>
    <w:p>
      <w:pPr>
        <w:spacing w:after="140" w:line="340" w:lineRule="auto"/>
        <w:jc w:val="both"/>
      </w:pPr>
      <w:r>
        <w:rPr>
          <w:color w:val="1A1A1A"/>
          <w:sz w:val="36"/>
          <w:szCs w:val="36"/>
        </w:rPr>
        <w:t xml:space="preserve">فإنّ أناسًا اليومَ قد يعدِلون في النفقةِ وفي العطيَّة، لكنّهم في الاحترامِ والتقديمِ وإظهارِ المودَّةِ لا يُقدِّمون إلا من كان له شأنٌ في هذه الدنيا؛ وربي إنّ من صنَعَ ذلك ظالمٌ جائر.</w:t>
      </w:r>
    </w:p>
    <w:p>
      <w:pPr>
        <w:spacing w:after="140" w:line="340" w:lineRule="auto"/>
        <w:jc w:val="both"/>
      </w:pPr>
      <w:r>
        <w:rPr>
          <w:color w:val="1A1A1A"/>
          <w:sz w:val="36"/>
          <w:szCs w:val="36"/>
        </w:rPr>
        <w:t xml:space="preserve">وفي </w:t>
      </w:r>
      <w:r>
        <w:rPr>
          <w:b/>
          <w:bCs/>
          <w:color w:val="1F5C3A"/>
          <w:sz w:val="36"/>
          <w:szCs w:val="36"/>
        </w:rPr>
        <w:t xml:space="preserve">«مسند البزّار»</w:t>
      </w:r>
      <w:r>
        <w:rPr>
          <w:color w:val="1A1A1A"/>
          <w:sz w:val="36"/>
          <w:szCs w:val="36"/>
        </w:rPr>
        <w:t xml:space="preserve"> بسندٍ حسنٍ من حديث أنسِ بنِ مالكٍ ﵁: أنّ رجلًا كان عند النبيِّ ﷺ، فجاءه ابنٌ له فقبَّلَه وأجلسَه على فخِذِه، ثم جاءته ابنةٌ له فأجلسَها بجانبِه ولم يُقبِّلْها ولم يُجلِسْها في حِجرِه؛ فقال ﷺ:</w:t>
      </w:r>
    </w:p>
    <w:p>
      <w:pPr>
        <w:pBdr>
          <w:right w:val="single" w:sz="12" w:space="10" w:color="8A6A1F"/>
        </w:pBdr>
        <w:spacing w:before="120" w:after="160" w:line="320" w:lineRule="auto"/>
        <w:ind w:left="504" w:right="504"/>
        <w:jc w:val="both"/>
      </w:pPr>
      <w:r>
        <w:rPr>
          <w:b/>
          <w:bCs/>
          <w:color w:val="1F5C3A"/>
          <w:sz w:val="36"/>
          <w:szCs w:val="36"/>
        </w:rPr>
        <w:t xml:space="preserve">«أَلا سوَّيتَ بينهما!»</w:t>
      </w:r>
      <w:r>
        <w:rPr>
          <w:rStyle w:val="a5"/>
          <w:sz w:val="36"/>
          <w:szCs w:val="36"/>
        </w:rPr>
        <w:footnoteReference w:id="4"/>
      </w:r>
    </w:p>
    <w:p>
      <w:pPr>
        <w:spacing w:after="140" w:line="340" w:lineRule="auto"/>
        <w:jc w:val="both"/>
      </w:pPr>
      <w:r>
        <w:rPr>
          <w:color w:val="1A1A1A"/>
          <w:sz w:val="36"/>
          <w:szCs w:val="36"/>
        </w:rPr>
        <w:t xml:space="preserve">ولذلك كان إبراهيمُ النَّخَعيُّ ﵀ ـ وهو سيِّدٌ من سادةِ التابعين ـ يقول: كانوا يُحِبُّون أن يعدِلوا بين الأبناءِ حتى في القُبَل.</w:t>
      </w:r>
      <w:r>
        <w:rPr>
          <w:rStyle w:val="a5"/>
          <w:sz w:val="36"/>
          <w:szCs w:val="36"/>
        </w:rPr>
        <w:footnoteReference w:id="5"/>
      </w:r>
    </w:p>
    <w:p>
      <w:pPr>
        <w:spacing w:after="140" w:line="340" w:lineRule="auto"/>
        <w:jc w:val="both"/>
      </w:pPr>
      <w:r>
        <w:rPr>
          <w:color w:val="1A1A1A"/>
          <w:sz w:val="36"/>
          <w:szCs w:val="36"/>
        </w:rPr>
        <w:t xml:space="preserve">فتفقَّدْ نفسَك: كيف تُعامِلُ الأولاد؟ من تُكرِمُ ومن تُقدِّم؟ لِمَن تضحكُ وفي وجهِ من تُقطِّبُ الجبين؟ فإن كنتَ عادلًا فاحمَدِ اللهَ جلَّ في عُلاه.</w:t>
      </w:r>
    </w:p>
    <w:p>
      <w:pPr>
        <w:spacing w:after="140" w:line="340" w:lineRule="auto"/>
        <w:jc w:val="both"/>
      </w:pPr>
      <w:r>
        <w:rPr>
          <w:color w:val="1A1A1A"/>
          <w:sz w:val="36"/>
          <w:szCs w:val="36"/>
        </w:rPr>
        <w:t xml:space="preserve">فإن قلتَ لي: إنّي لا أملِكُ المَيلَ القلبيَّ ـ فالجوابُ: احرِصْ على عدمِ إظهارِه؛ فإنّ القلبَ قد يميلُ إلى ولدٍ دون ولد، ولكنّ هذا المَيلَ لا ينبغي أن يُؤثِّرَ لا على نفقةٍ ولا على عطيَّةٍ ولا على حُسنِ معاملة.</w:t>
      </w:r>
    </w:p>
    <w:p>
      <w:pPr>
        <w:spacing w:before="260" w:after="120"/>
      </w:pPr>
      <w:r>
        <w:rPr>
          <w:b/>
          <w:bCs/>
          <w:color w:val="1F5C3A"/>
          <w:sz w:val="36"/>
          <w:szCs w:val="36"/>
        </w:rPr>
        <w:t xml:space="preserve">خاتمة: دعوةُ المظلوم</w:t>
      </w:r>
    </w:p>
    <w:p>
      <w:pPr>
        <w:spacing w:after="140" w:line="340" w:lineRule="auto"/>
        <w:jc w:val="both"/>
      </w:pPr>
      <w:r>
        <w:rPr>
          <w:color w:val="1A1A1A"/>
          <w:sz w:val="36"/>
          <w:szCs w:val="36"/>
        </w:rPr>
        <w:t xml:space="preserve">وواللهِ يا إخواني، لقد قابلَني رجلٌ فقال: أسألُك باللهِ أن تتكلَّمَ عن العدلِ بين الأبناء؛ فإنّ والدي ظالمٌ وإني لأدعو عليه! فيا مسلم، أما تتَّقي دعوةَ المظلوم؟ والمظلومُ قد يكونُ ولدًا وقد يكونُ بنتًا. أَلا تُحِبُّ أن تكونَ على منابرَ من نورٍ يومَ القيامة؟ قال ﷺ كما في </w:t>
      </w:r>
      <w:r>
        <w:rPr>
          <w:b/>
          <w:bCs/>
          <w:color w:val="1F5C3A"/>
          <w:sz w:val="36"/>
          <w:szCs w:val="36"/>
        </w:rPr>
        <w:t xml:space="preserve">«صحيح مسلم»</w:t>
      </w:r>
      <w:r>
        <w:rPr>
          <w:color w:val="1A1A1A"/>
          <w:sz w:val="36"/>
          <w:szCs w:val="36"/>
        </w:rPr>
        <w:t xml:space="preserve">:</w:t>
      </w:r>
    </w:p>
    <w:p>
      <w:pPr>
        <w:pBdr>
          <w:right w:val="single" w:sz="12" w:space="10" w:color="8A6A1F"/>
        </w:pBdr>
        <w:spacing w:before="120" w:after="160" w:line="320" w:lineRule="auto"/>
        <w:ind w:left="504" w:right="504"/>
        <w:jc w:val="both"/>
      </w:pPr>
      <w:r>
        <w:rPr>
          <w:b/>
          <w:bCs/>
          <w:color w:val="1F5C3A"/>
          <w:sz w:val="36"/>
          <w:szCs w:val="36"/>
        </w:rPr>
        <w:t xml:space="preserve">«إنّ المُقسِطينَ عند اللهِ على منابرَ من نور، عن يمينِ الرحمنِ ﷿ ـ وكِلتا يديه يمين ـ الذين يَعدِلون في حُكمِهم وأهليهم وما وَلُوا»</w:t>
      </w:r>
      <w:r>
        <w:rPr>
          <w:rStyle w:val="a5"/>
          <w:sz w:val="36"/>
          <w:szCs w:val="36"/>
        </w:rPr>
        <w:footnoteReference w:id="6"/>
      </w:r>
    </w:p>
    <w:p>
      <w:pPr>
        <w:spacing w:after="140" w:line="340" w:lineRule="auto"/>
        <w:jc w:val="both"/>
      </w:pPr>
      <w:r>
        <w:rPr>
          <w:color w:val="1A1A1A"/>
          <w:sz w:val="36"/>
          <w:szCs w:val="36"/>
        </w:rPr>
        <w:t xml:space="preserve">فأينَ نحن من العدلِ في حُكمِنا وبين أبنائِنا وفيما ولّانا اللهُ إيّاه؟</w:t>
      </w:r>
    </w:p>
    <w:p>
      <w:pPr>
        <w:spacing w:after="140" w:line="340" w:lineRule="auto"/>
        <w:jc w:val="both"/>
      </w:pPr>
      <w:r>
        <w:rPr>
          <w:color w:val="1A1A1A"/>
          <w:sz w:val="36"/>
          <w:szCs w:val="36"/>
        </w:rPr>
        <w:t xml:space="preserve">واعلَمْ أنّ البِرَّ ومَدَدَ الحسناتِ لا تعلمُ من أين يأتيك. فكم من رجلٍ خصَّ الذكورَ دون الإناث؛ فلمّا كبِرَ وأَسَنَّ لفَظَه الذكورُ ولم تُؤْوِه إلا بنتٌ واحدة، قامت على خدمتِه ورعايةِ شؤونِه حتى لقيَ الله. وكم من ولدٍ لم يُوفَّقْ في دراستِه ولا كان ذا مكانة، كنتَ تُؤخِّرُه وتُقدِّمُ من هو دونَه، وإذا به هو البارُّ الذي يدعو لك في ظهرِ الغيبِ ويتصدَّقُ عنك، ويمُدُّك بنَهرٍ من الحسناتِ لا ينقطع.</w:t>
      </w:r>
    </w:p>
    <w:p>
      <w:pPr>
        <w:spacing w:after="140" w:line="340" w:lineRule="auto"/>
        <w:jc w:val="both"/>
      </w:pPr>
      <w:r>
        <w:rPr>
          <w:color w:val="1A1A1A"/>
          <w:sz w:val="36"/>
          <w:szCs w:val="36"/>
        </w:rPr>
        <w:t xml:space="preserve">فاتَّقِ اللهَ وكُنْ عادلًا بين أبنائِك. أسألُ اللهَ العليَّ الأعلى ربَّ العرشِ العظيمِ أن يجعلني وإخواني السامعين ممَّن يُحقِّقون العدلَ بين أولادِهم؛ إنه وليُّ ذلك والقادرُ عليه.</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النعمان بن بشير ﵄، والألفاظُ المذكورةُ كلُّها في «الصحيحين» أو أحدِهما.</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والترمذيُّ وابنُ ماجه من حديث أبي أُمامة ﵁، وصححه الألباني. وأصلُه في «الصحيحين» بلفظ: «إنّ اللهَ قد أعطى كلَّ ذي حقٍّ حقَّه».</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المسألةُ خلافيةٌ بين أهلِ العلم: فذهبَ جماعةٌ ـ منهم الإمامُ أحمدُ في المشهورِ عنه ـ إلى أنّ العطيَّةَ في الحياةِ تكونُ على قسمةِ الميراث، وذهبَ آخَرون إلى التسويةِ المطلقةِ بين الذكرِ والأنثى؛ والمتَّفَقُ عليه تحريمُ حِرمانِ بعضِ الولدِ وتفضيلِ بعضِهم بلا مُوجِبٍ شرعيّ. وأمّا الميراثُ بعد الوفاةِ فقسمتُه مُحكَمةٌ بنصِّ القرآن، لا مدخلَ للاجتهادِ فيها.</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البزّارُ من حديث أنس بن مالك ﵁، وحسَّنه بعضُ أهلِ العلمِ بشواهدِه.</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إبراهيمَ النَّخَعيِّ ﵀؛ أخرجه ابنُ أبي شيبةَ في «المصنَّف» والبيهقيُّ في «السنن».</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عبد الله بن عمرو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