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حُسنُ الظنِّ بالله</w:t>
      </w:r>
    </w:p>
    <w:p>
      <w:pPr>
        <w:spacing w:after="120"/>
      </w:pPr>
      <w:r>
        <w:rPr>
          <w:color w:val="8A6A1F"/>
          <w:sz w:val="36"/>
          <w:szCs w:val="36"/>
        </w:rPr>
        <w:t xml:space="preserve">علاماتُ حُسنِ الظنِّ الصادق، والفرقُ بينه وبين الغُرور</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تغريرُ شيطانٍ أم حُسنُ ظنٍّ بالرحمن؟</w:t>
      </w:r>
    </w:p>
    <w:p>
      <w:pPr>
        <w:spacing w:after="140" w:line="340" w:lineRule="auto"/>
        <w:jc w:val="both"/>
      </w:pPr>
      <w:r>
        <w:rPr>
          <w:color w:val="1A1A1A"/>
          <w:sz w:val="36"/>
          <w:szCs w:val="36"/>
        </w:rPr>
        <w:t xml:space="preserve">وبعدُ، أحبَّتي في الله، معاشرَ المصلِّين: قال قائلُهم:</w:t>
      </w:r>
    </w:p>
    <w:p>
      <w:pPr>
        <w:pBdr>
          <w:right w:val="single" w:sz="12" w:space="10" w:color="8A6A1F"/>
        </w:pBdr>
        <w:spacing w:before="120" w:after="160" w:line="320" w:lineRule="auto"/>
        <w:ind w:left="504" w:right="504"/>
        <w:jc w:val="both"/>
      </w:pPr>
      <w:r>
        <w:rPr>
          <w:b/>
          <w:bCs/>
          <w:color w:val="1F5C3A"/>
          <w:sz w:val="36"/>
          <w:szCs w:val="36"/>
        </w:rPr>
        <w:t xml:space="preserve">فكَثِّرْ ما استطعتَ من الخطايا ... إذا كان القُدومُ على كريمِ</w:t>
      </w:r>
    </w:p>
    <w:p>
      <w:pPr>
        <w:spacing w:after="140" w:line="340" w:lineRule="auto"/>
        <w:jc w:val="both"/>
      </w:pPr>
      <w:r>
        <w:rPr>
          <w:color w:val="1A1A1A"/>
          <w:sz w:val="36"/>
          <w:szCs w:val="36"/>
        </w:rPr>
        <w:t xml:space="preserve">رسالةٌ إلى كلِّ تاركٍ للعمل، قاعدٍ عن الطاعة، رافعٍ شعارَ هذا البيت؛ مُتَّكِلًا على ما يُسمِّيه </w:t>
      </w:r>
      <w:r>
        <w:rPr>
          <w:b/>
          <w:bCs/>
          <w:color w:val="1F5C3A"/>
          <w:sz w:val="36"/>
          <w:szCs w:val="36"/>
        </w:rPr>
        <w:t xml:space="preserve">«حُسنَ الظنِّ بالله»</w:t>
      </w:r>
      <w:r>
        <w:rPr>
          <w:color w:val="1A1A1A"/>
          <w:sz w:val="36"/>
          <w:szCs w:val="36"/>
        </w:rPr>
        <w:t xml:space="preserve">، ظانًّا أنّ اللهَ لن يُؤاخِذَه بذنب.</w:t>
      </w:r>
    </w:p>
    <w:p>
      <w:pPr>
        <w:spacing w:after="140" w:line="340" w:lineRule="auto"/>
        <w:jc w:val="both"/>
      </w:pPr>
      <w:r>
        <w:rPr>
          <w:color w:val="1A1A1A"/>
          <w:sz w:val="36"/>
          <w:szCs w:val="36"/>
        </w:rPr>
        <w:t xml:space="preserve">كلّا! ليس هذا حُسنَ الظنِّ بالله؛ إنما هو **غُرورٌ وتغريرُ شيطان**. إنّ حُسنَ الظنِّ بالله عبادةٌ عظيمةٌ ومنزلةٌ رفيعة، ولها علاماتٌ إن وُجِدَتْ فيك فأَبشِرْ، وإن لم تُوجَدْ فلن ينفعَك ظنُّك المزعوم.</w:t>
      </w:r>
    </w:p>
    <w:p>
      <w:pPr>
        <w:spacing w:before="260" w:after="120"/>
      </w:pPr>
      <w:r>
        <w:rPr>
          <w:b/>
          <w:bCs/>
          <w:color w:val="1F5C3A"/>
          <w:sz w:val="36"/>
          <w:szCs w:val="36"/>
        </w:rPr>
        <w:t xml:space="preserve">أولًا: الخوفُ من الشِّركِ والذنوب</w:t>
      </w:r>
    </w:p>
    <w:p>
      <w:pPr>
        <w:spacing w:after="140" w:line="340" w:lineRule="auto"/>
        <w:jc w:val="both"/>
      </w:pPr>
      <w:r>
        <w:rPr>
          <w:color w:val="1A1A1A"/>
          <w:sz w:val="36"/>
          <w:szCs w:val="36"/>
        </w:rPr>
        <w:t xml:space="preserve">فإنّ العبدَ الذي يُحسِنُ الظنَّ بربِّه يخافُ أشدَّ الخوف: يخافُ على توحيدِه، ويخافُ أن يُسلَبَ الإيمانَ قبل الموت.</w:t>
      </w:r>
    </w:p>
    <w:p>
      <w:pPr>
        <w:spacing w:after="140" w:line="340" w:lineRule="auto"/>
        <w:jc w:val="both"/>
      </w:pPr>
      <w:r>
        <w:rPr>
          <w:color w:val="1A1A1A"/>
          <w:sz w:val="36"/>
          <w:szCs w:val="36"/>
        </w:rPr>
        <w:t xml:space="preserve">تأمَّلوا وصفَ اللهِ لقلبِ خليلِه إبراهيمَ ﵇ ـ الذي حطَّمَ الأصنامَ بيدَيه ـ وهو يقول:</w:t>
      </w:r>
    </w:p>
    <w:p>
      <w:pPr>
        <w:pBdr>
          <w:right w:val="single" w:sz="12" w:space="10" w:color="8A6A1F"/>
        </w:pBdr>
        <w:spacing w:before="120" w:after="160" w:line="320" w:lineRule="auto"/>
        <w:ind w:left="504" w:right="504"/>
        <w:jc w:val="both"/>
      </w:pPr>
      <w:r>
        <w:rPr>
          <w:b/>
          <w:bCs/>
          <w:color w:val="8A6A1F"/>
          <w:sz w:val="36"/>
          <w:szCs w:val="36"/>
        </w:rPr>
        <w:t xml:space="preserve">﴿وَاجْنُبْنِي وَبَنِيَّ أَن نَّعْبُدَ الْأَصْنَامَ﴾</w:t>
      </w:r>
    </w:p>
    <w:p>
      <w:pPr>
        <w:spacing w:after="140" w:line="340" w:lineRule="auto"/>
        <w:jc w:val="both"/>
      </w:pPr>
      <w:r>
        <w:rPr>
          <w:color w:val="1A1A1A"/>
          <w:sz w:val="36"/>
          <w:szCs w:val="36"/>
        </w:rPr>
        <w:t xml:space="preserve">من منّا خافَ على توحيدِه؟! وتأمَّلْ مقالةَ يوسفَ ﵇ لمّا جاءَتْه الفتنة:</w:t>
      </w:r>
    </w:p>
    <w:p>
      <w:pPr>
        <w:pBdr>
          <w:right w:val="single" w:sz="12" w:space="10" w:color="8A6A1F"/>
        </w:pBdr>
        <w:spacing w:before="120" w:after="160" w:line="320" w:lineRule="auto"/>
        <w:ind w:left="504" w:right="504"/>
        <w:jc w:val="both"/>
      </w:pPr>
      <w:r>
        <w:rPr>
          <w:b/>
          <w:bCs/>
          <w:color w:val="8A6A1F"/>
          <w:sz w:val="36"/>
          <w:szCs w:val="36"/>
        </w:rPr>
        <w:t xml:space="preserve">﴿وَإِلَّا تَصْرِفْ عَنِّي كَيْدَهُنَّ أَصْبُ إِلَيْهِنَّ وَأَكُن مِّنَ الْجَاهِلِينَ﴾</w:t>
      </w:r>
    </w:p>
    <w:p>
      <w:pPr>
        <w:spacing w:after="140" w:line="340" w:lineRule="auto"/>
        <w:jc w:val="both"/>
      </w:pPr>
      <w:r>
        <w:rPr>
          <w:color w:val="1A1A1A"/>
          <w:sz w:val="36"/>
          <w:szCs w:val="36"/>
        </w:rPr>
        <w:t xml:space="preserve">ما أحسنَ الظنَّ بنفسِه! ولذلك كان أكثرُ دعاءِ النبيِّ ﷺ:</w:t>
      </w:r>
    </w:p>
    <w:p>
      <w:pPr>
        <w:pBdr>
          <w:right w:val="single" w:sz="12" w:space="10" w:color="8A6A1F"/>
        </w:pBdr>
        <w:spacing w:before="120" w:after="160" w:line="320" w:lineRule="auto"/>
        <w:ind w:left="504" w:right="504"/>
        <w:jc w:val="both"/>
      </w:pPr>
      <w:r>
        <w:rPr>
          <w:b/>
          <w:bCs/>
          <w:color w:val="1F5C3A"/>
          <w:sz w:val="36"/>
          <w:szCs w:val="36"/>
        </w:rPr>
        <w:t xml:space="preserve">«يا مُقلِّبَ القلوب، ثبِّتْ قلبي على دينِك»</w:t>
      </w:r>
      <w:r>
        <w:rPr>
          <w:rStyle w:val="a5"/>
          <w:sz w:val="36"/>
          <w:szCs w:val="36"/>
        </w:rPr>
        <w:footnoteReference w:id="1"/>
      </w:r>
    </w:p>
    <w:p>
      <w:pPr>
        <w:spacing w:after="140" w:line="340" w:lineRule="auto"/>
        <w:jc w:val="both"/>
      </w:pPr>
      <w:r>
        <w:rPr>
          <w:color w:val="1A1A1A"/>
          <w:sz w:val="36"/>
          <w:szCs w:val="36"/>
        </w:rPr>
        <w:t xml:space="preserve">وهذا سفيانُ الثوريُّ ﵀ كان يشتَدُّ بكاؤُه؛ فيُسألُ فيقول: **أخافُ أن أُسلَبَ الإيمانَ عند الموت**.</w:t>
      </w:r>
      <w:r>
        <w:rPr>
          <w:rStyle w:val="a5"/>
          <w:sz w:val="36"/>
          <w:szCs w:val="36"/>
        </w:rPr>
        <w:footnoteReference w:id="2"/>
      </w:r>
      <w:r>
        <w:rPr>
          <w:color w:val="1A1A1A"/>
          <w:sz w:val="36"/>
          <w:szCs w:val="36"/>
        </w:rPr>
        <w:t xml:space="preserve"> وهذا الإمامُ أحمدُ ﵀ ـ إمامُ أهلِ السنَّة ـ لمّا أُثنيَ عليه بكى وقال: **</w:t>
      </w:r>
      <w:r>
        <w:rPr>
          <w:b/>
          <w:bCs/>
          <w:color w:val="1F5C3A"/>
          <w:sz w:val="36"/>
          <w:szCs w:val="36"/>
        </w:rPr>
        <w:t xml:space="preserve">«إنما الأعمالُ بالخواتيم»</w:t>
      </w:r>
      <w:r>
        <w:rPr>
          <w:color w:val="1A1A1A"/>
          <w:sz w:val="36"/>
          <w:szCs w:val="36"/>
        </w:rPr>
        <w:t xml:space="preserve">**، وكان يخشى أن يكونَ ذلك استدراجًا.</w:t>
      </w:r>
      <w:r>
        <w:rPr>
          <w:rStyle w:val="a5"/>
          <w:sz w:val="36"/>
          <w:szCs w:val="36"/>
        </w:rPr>
        <w:footnoteReference w:id="3"/>
      </w:r>
    </w:p>
    <w:p>
      <w:pPr>
        <w:spacing w:before="260" w:after="120"/>
      </w:pPr>
      <w:r>
        <w:rPr>
          <w:b/>
          <w:bCs/>
          <w:color w:val="1F5C3A"/>
          <w:sz w:val="36"/>
          <w:szCs w:val="36"/>
        </w:rPr>
        <w:t xml:space="preserve">ثانيًا: الوَجَلُ من عدمِ القَبول</w:t>
      </w:r>
    </w:p>
    <w:p>
      <w:pPr>
        <w:spacing w:after="140" w:line="340" w:lineRule="auto"/>
        <w:jc w:val="both"/>
      </w:pPr>
      <w:r>
        <w:rPr>
          <w:color w:val="1A1A1A"/>
          <w:sz w:val="36"/>
          <w:szCs w:val="36"/>
        </w:rPr>
        <w:t xml:space="preserve">أن تكونَ وَجِلًا من ألّا يتقبَّلَ اللهُ منك؛ وليس ذلك سوءَ ظنٍّ به سبحانه، وإنما هو اتِّهامٌ لنفسِك بالتقصير. فمن يَضمَنُ سلامةَ نيَّتِه؟ ومن يَضمَنُ أنه أدّى العملَ كما أمرَ الله؟</w:t>
      </w:r>
    </w:p>
    <w:p>
      <w:pPr>
        <w:spacing w:after="140" w:line="340" w:lineRule="auto"/>
        <w:jc w:val="both"/>
      </w:pPr>
      <w:r>
        <w:rPr>
          <w:color w:val="1A1A1A"/>
          <w:sz w:val="36"/>
          <w:szCs w:val="36"/>
        </w:rPr>
        <w:t xml:space="preserve">سألَتْ عائشةُ ﵂ رسولَ اللهِ ﷺ عن قولِه تعالى: </w:t>
      </w:r>
      <w:r>
        <w:rPr>
          <w:b/>
          <w:bCs/>
          <w:color w:val="8A6A1F"/>
          <w:sz w:val="36"/>
          <w:szCs w:val="36"/>
        </w:rPr>
        <w:t xml:space="preserve">﴿وَالَّذِينَ يُؤْتُونَ مَا آتَوا وَّقُلُوبُهُمْ وَجِلَةٌ﴾</w:t>
      </w:r>
      <w:r>
        <w:rPr>
          <w:color w:val="1A1A1A"/>
          <w:sz w:val="36"/>
          <w:szCs w:val="36"/>
        </w:rPr>
        <w:t xml:space="preserve"> فقالت: أهمُ الذين يَسرِقون ويَزنون ويَشرَبون الخمرَ وهم يخافون الله؟ قال:</w:t>
      </w:r>
    </w:p>
    <w:p>
      <w:pPr>
        <w:pBdr>
          <w:right w:val="single" w:sz="12" w:space="10" w:color="8A6A1F"/>
        </w:pBdr>
        <w:spacing w:before="120" w:after="160" w:line="320" w:lineRule="auto"/>
        <w:ind w:left="504" w:right="504"/>
        <w:jc w:val="both"/>
      </w:pPr>
      <w:r>
        <w:rPr>
          <w:b/>
          <w:bCs/>
          <w:color w:val="1F5C3A"/>
          <w:sz w:val="36"/>
          <w:szCs w:val="36"/>
        </w:rPr>
        <w:t xml:space="preserve">«لا يا بنتَ الصدِّيق، ولكنّهمُ الذين يَصومون ويُصلُّون ويتصدَّقون وهم يخافون ألّا يُتقبَّلَ منهم؛ ﴿أُولَٰئِكَ يُسَارِعُونَ فِي الْخَيْرَاتِ﴾»</w:t>
      </w:r>
      <w:r>
        <w:rPr>
          <w:rStyle w:val="a5"/>
          <w:sz w:val="36"/>
          <w:szCs w:val="36"/>
        </w:rPr>
        <w:footnoteReference w:id="4"/>
      </w:r>
    </w:p>
    <w:p>
      <w:pPr>
        <w:spacing w:after="140" w:line="340" w:lineRule="auto"/>
        <w:jc w:val="both"/>
      </w:pPr>
      <w:r>
        <w:rPr>
          <w:color w:val="1A1A1A"/>
          <w:sz w:val="36"/>
          <w:szCs w:val="36"/>
        </w:rPr>
        <w:t xml:space="preserve">فتأمَّلْ: لمّا كانوا وَجِلين صاروا مُسارِعين! فحُسنُ الظنِّ يحمِلُ على العمل لا على تركِه.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ثالثًا: الخوفُ من سالفِ الذنوب</w:t>
      </w:r>
    </w:p>
    <w:p>
      <w:pPr>
        <w:spacing w:after="140" w:line="340" w:lineRule="auto"/>
        <w:jc w:val="both"/>
      </w:pPr>
      <w:r>
        <w:rPr>
          <w:color w:val="1A1A1A"/>
          <w:sz w:val="36"/>
          <w:szCs w:val="36"/>
        </w:rPr>
        <w:t xml:space="preserve">وأعني أن تخافَ من تلك الآثامِ التي وقعَتْ منك، لا أن تنساها مُغتَرًّا بطاعاتِك. فتأمَّلْ حالَ الأنبياء: إبراهيمُ ﵇ عاشَ حياتَه بتوحيدِه وجهادِه ثم يقول:</w:t>
      </w:r>
    </w:p>
    <w:p>
      <w:pPr>
        <w:pBdr>
          <w:right w:val="single" w:sz="12" w:space="10" w:color="8A6A1F"/>
        </w:pBdr>
        <w:spacing w:before="120" w:after="160" w:line="320" w:lineRule="auto"/>
        <w:ind w:left="504" w:right="504"/>
        <w:jc w:val="both"/>
      </w:pPr>
      <w:r>
        <w:rPr>
          <w:b/>
          <w:bCs/>
          <w:color w:val="8A6A1F"/>
          <w:sz w:val="36"/>
          <w:szCs w:val="36"/>
        </w:rPr>
        <w:t xml:space="preserve">﴿وَالَّذِي أَطْمَعُ أَن يَغْفِرَ لِي خَطِيئَتِي يَوْمَ الدِّينِ﴾</w:t>
      </w:r>
    </w:p>
    <w:p>
      <w:pPr>
        <w:spacing w:after="140" w:line="340" w:lineRule="auto"/>
        <w:jc w:val="both"/>
      </w:pPr>
      <w:r>
        <w:rPr>
          <w:color w:val="1A1A1A"/>
          <w:sz w:val="36"/>
          <w:szCs w:val="36"/>
        </w:rPr>
        <w:t xml:space="preserve">فإذا كان الخليلُ يخافُ، فكيف بمن يأكُلُ الحرامَ ولا يخاف؟! وقد جاء في الحديثِ القدسي:</w:t>
      </w:r>
    </w:p>
    <w:p>
      <w:pPr>
        <w:pBdr>
          <w:right w:val="single" w:sz="12" w:space="10" w:color="8A6A1F"/>
        </w:pBdr>
        <w:spacing w:before="120" w:after="160" w:line="320" w:lineRule="auto"/>
        <w:ind w:left="504" w:right="504"/>
        <w:jc w:val="both"/>
      </w:pPr>
      <w:r>
        <w:rPr>
          <w:b/>
          <w:bCs/>
          <w:color w:val="1F5C3A"/>
          <w:sz w:val="36"/>
          <w:szCs w:val="36"/>
        </w:rPr>
        <w:t xml:space="preserve">«وعِزَّتي، لا أَجمَعُ على عبدي خَوفَين وأَمنَين: إذا خافَني في الدنيا أَمَّنتُه يومَ القيامة، وإذا أَمِنَني في الدنيا أَخَفتُه يومَ القيامة»</w:t>
      </w:r>
      <w:r>
        <w:rPr>
          <w:rStyle w:val="a5"/>
          <w:sz w:val="36"/>
          <w:szCs w:val="36"/>
        </w:rPr>
        <w:footnoteReference w:id="5"/>
      </w:r>
    </w:p>
    <w:p>
      <w:pPr>
        <w:spacing w:before="260" w:after="120"/>
      </w:pPr>
      <w:r>
        <w:rPr>
          <w:b/>
          <w:bCs/>
          <w:color w:val="1F5C3A"/>
          <w:sz w:val="36"/>
          <w:szCs w:val="36"/>
        </w:rPr>
        <w:t xml:space="preserve">رابعًا: الاجتهادُ في الطاعة</w:t>
      </w:r>
    </w:p>
    <w:p>
      <w:pPr>
        <w:spacing w:after="140" w:line="340" w:lineRule="auto"/>
        <w:jc w:val="both"/>
      </w:pPr>
      <w:r>
        <w:rPr>
          <w:color w:val="1A1A1A"/>
          <w:sz w:val="36"/>
          <w:szCs w:val="36"/>
        </w:rPr>
        <w:t xml:space="preserve">فكلُّ </w:t>
      </w:r>
      <w:r>
        <w:rPr>
          <w:b/>
          <w:bCs/>
          <w:color w:val="1F5C3A"/>
          <w:sz w:val="36"/>
          <w:szCs w:val="36"/>
        </w:rPr>
        <w:t xml:space="preserve">«حُسنِ ظنٍّ»</w:t>
      </w:r>
      <w:r>
        <w:rPr>
          <w:color w:val="1A1A1A"/>
          <w:sz w:val="36"/>
          <w:szCs w:val="36"/>
        </w:rPr>
        <w:t xml:space="preserve"> يُقعِدُك عن الطاعةِ فاعلَمْ أنه تغريرٌ من الشيطان؛ وكلُّ حُسنِ ظنٍّ صادقٍ يحمِلُك على العملِ والإكثارِ منه. فلا تقُلْ: </w:t>
      </w:r>
      <w:r>
        <w:rPr>
          <w:b/>
          <w:bCs/>
          <w:color w:val="1F5C3A"/>
          <w:sz w:val="36"/>
          <w:szCs w:val="36"/>
        </w:rPr>
        <w:t xml:space="preserve">«كَثِّرْ ما استطعتَ من الخطايا»</w:t>
      </w:r>
      <w:r>
        <w:rPr>
          <w:color w:val="1A1A1A"/>
          <w:sz w:val="36"/>
          <w:szCs w:val="36"/>
        </w:rPr>
        <w:t xml:space="preserve">؛ بل قُلْ: **كَثِّرْ ما استطعتَ من التوبةِ والاستغفار إذا كان القُدومُ على كريم.**</w:t>
      </w:r>
    </w:p>
    <w:p>
      <w:pPr>
        <w:spacing w:after="140" w:line="340" w:lineRule="auto"/>
        <w:jc w:val="both"/>
      </w:pPr>
      <w:r>
        <w:rPr>
          <w:color w:val="1A1A1A"/>
          <w:sz w:val="36"/>
          <w:szCs w:val="36"/>
        </w:rPr>
        <w:t xml:space="preserve">قال ابنُ القيِّمِ ﵀ في تحريرِ هذا الباب: **</w:t>
      </w:r>
      <w:r>
        <w:rPr>
          <w:b/>
          <w:bCs/>
          <w:color w:val="1F5C3A"/>
          <w:sz w:val="36"/>
          <w:szCs w:val="36"/>
        </w:rPr>
        <w:t xml:space="preserve">«حُسنُ الظنِّ إنما يكونُ مع الإحسان؛ فإنّ المُحسِنَ حَسَنُ الظنِّ بربِّه أن يُجازيَه على إحسانِه، وأمّا المُسيءُ المُصِرُّ فإنّ وَحشةَ الإساءةِ تمنعُه من حُسنِ الظنّ. فحُسنُ الظنِّ هو الرجاء؛ ومن كان رجاؤه حاملًا له على الطاعةِ زاجرًا عن المعصيةِ فهو رجاءٌ صحيح، ومن كانت بطالتُه وانهماكُه هي رجاءَه فهو غُرور»</w:t>
      </w:r>
      <w:r>
        <w:rPr>
          <w:color w:val="1A1A1A"/>
          <w:sz w:val="36"/>
          <w:szCs w:val="36"/>
        </w:rPr>
        <w:t xml:space="preserve">**.</w:t>
      </w:r>
      <w:r>
        <w:rPr>
          <w:rStyle w:val="a5"/>
          <w:sz w:val="36"/>
          <w:szCs w:val="36"/>
        </w:rPr>
        <w:footnoteReference w:id="6"/>
      </w:r>
    </w:p>
    <w:p>
      <w:pPr>
        <w:spacing w:before="200" w:after="100"/>
      </w:pPr>
      <w:r>
        <w:rPr>
          <w:b/>
          <w:bCs/>
          <w:color w:val="1A1A1A"/>
          <w:sz w:val="36"/>
          <w:szCs w:val="36"/>
        </w:rPr>
        <w:t xml:space="preserve">أبو مسلمٍ الخَولانيُّ ﵀</w:t>
      </w:r>
    </w:p>
    <w:p>
      <w:pPr>
        <w:spacing w:after="140" w:line="340" w:lineRule="auto"/>
        <w:jc w:val="both"/>
      </w:pPr>
      <w:r>
        <w:rPr>
          <w:color w:val="1A1A1A"/>
          <w:sz w:val="36"/>
          <w:szCs w:val="36"/>
        </w:rPr>
        <w:t xml:space="preserve">وحفِظَ لنا التاريخُ خبرًا عجيبًا: **أبو مسلمٍ الخَولانيُّ**، أسلمَ في حياةِ النبيِّ ﷺ ولم يَرَه. لمّا ادَّعى الأسودُ العَنَسيُّ النبوَّةَ وحمَلَ الناسَ على تصديقِه، أبى أبو مسلمٍ وثبَتَ على توحيدِه؛ فأجَّجَ له نارًا عظيمةً وألقاه فيها، فخرجَ منها سالمًا لم تمَسَّه. فلمّا قدِمَ المدينةَ وبلغَ عمرَ ﵁ خبرُه بكى وقال:</w:t>
      </w:r>
    </w:p>
    <w:p>
      <w:pPr>
        <w:pBdr>
          <w:right w:val="single" w:sz="12" w:space="10" w:color="8A6A1F"/>
        </w:pBdr>
        <w:spacing w:before="120" w:after="160" w:line="320" w:lineRule="auto"/>
        <w:ind w:left="504" w:right="504"/>
        <w:jc w:val="both"/>
      </w:pPr>
      <w:r>
        <w:rPr>
          <w:b/>
          <w:bCs/>
          <w:color w:val="1F5C3A"/>
          <w:sz w:val="36"/>
          <w:szCs w:val="36"/>
        </w:rPr>
        <w:t xml:space="preserve">«الحمدُ للهِ الذي لم يُمِتْني حتى أراني في أمَّةِ محمدٍ ﷺ من فُعِلَ به كما فُعِلَ بإبراهيمَ خليلِ الرحمن»</w:t>
      </w:r>
      <w:r>
        <w:rPr>
          <w:rStyle w:val="a5"/>
          <w:sz w:val="36"/>
          <w:szCs w:val="36"/>
        </w:rPr>
        <w:footnoteReference w:id="7"/>
      </w:r>
    </w:p>
    <w:p>
      <w:pPr>
        <w:spacing w:after="140" w:line="340" w:lineRule="auto"/>
        <w:jc w:val="both"/>
      </w:pPr>
      <w:r>
        <w:rPr>
          <w:color w:val="1A1A1A"/>
          <w:sz w:val="36"/>
          <w:szCs w:val="36"/>
        </w:rPr>
        <w:t xml:space="preserve">ومع هذه الكرامةِ العظيمةِ ما حمَلَتْه على الاتِّكال! بل كان يُعلِّقُ سَوطًا على جدارِ بيتِه، فإذا جنَّ الليلُ أخذَه وضربَ به ساقَيه وقال: **</w:t>
      </w:r>
      <w:r>
        <w:rPr>
          <w:b/>
          <w:bCs/>
          <w:color w:val="1F5C3A"/>
          <w:sz w:val="36"/>
          <w:szCs w:val="36"/>
        </w:rPr>
        <w:t xml:space="preserve">«قومي! أَتَظُنُّ أصحابُ محمدٍ ﷺ أن يستأثِروا به دونَنا؟ واللهِ لَنُزاحِمَنَّهم عليه حتى يعلَموا أنهم قد خلَّفوا وراءَهم رجالًا»</w:t>
      </w:r>
      <w:r>
        <w:rPr>
          <w:color w:val="1A1A1A"/>
          <w:sz w:val="36"/>
          <w:szCs w:val="36"/>
        </w:rPr>
        <w:t xml:space="preserve">**.</w:t>
      </w:r>
      <w:r>
        <w:rPr>
          <w:rStyle w:val="a5"/>
          <w:sz w:val="36"/>
          <w:szCs w:val="36"/>
        </w:rPr>
        <w:footnoteReference w:id="8"/>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فجعلَنا اللهُ وإياكم ممَّن يُحسِنون الظنَّ بربِّهم فيَحمِلُهم ذلك على الطاعةِ والاجتهاد، حتى يَلقَوه مُوحِّدين غيرَ مُبدِّلين؛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w:t>
      </w:r>
    </w:p>
    <w:p>
      <w:pPr>
        <w:spacing w:after="140" w:line="340" w:lineRule="auto"/>
        <w:jc w:val="both"/>
      </w:pPr>
      <w:r>
        <w:rPr>
          <w:color w:val="1A1A1A"/>
          <w:sz w:val="36"/>
          <w:szCs w:val="36"/>
        </w:rPr>
        <w:t xml:space="preserve">اللهم كُنْ مع المستضعَفين؛ قَوِّ عزائمَهم، واربِطْ على قلوبِهم، وداوِ جرحاهم، واشفِ مرضاهم. اللهم مُنزِلَ الكتاب، مُجرِيَ السحاب، هازمَ الأحزاب: اهزِمْ من اعتدى عليهم وانصُرْنا عليهم.</w:t>
      </w:r>
      <w:r>
        <w:rPr>
          <w:rStyle w:val="a5"/>
          <w:sz w:val="36"/>
          <w:szCs w:val="36"/>
        </w:rPr>
        <w:footnoteReference w:id="9"/>
      </w:r>
      <w:r>
        <w:rPr>
          <w:color w:val="1A1A1A"/>
          <w:sz w:val="36"/>
          <w:szCs w:val="36"/>
        </w:rPr>
        <w:t xml:space="preserve"> يا من لا تَضيعُ ودائعُه، استودَعْناك إخوانَنا وبلادَ المسلمين.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أنس بن مالك ﵁، وصححه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سفيانَ الثوريِّ ﵀؛ ذكرَها أبو نُعيمٍ في «الحلية» والذهبيُّ في «السير».</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أحمدَ ﵀؛ رواها ابنُ الجوزيِّ في «المناقب».</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عائشة ﵂، وصححه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حبان والبيهقيُّ من حديث أبي هريرة ﵁، وحسَّنه الألباني في «صحيح الجامع».</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ابنُ القيِّم في «الجواب الكافي» و«مدارج السالكين»، بتصرُّفٍ يسيرٍ في العبارة.</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أبي مسلمٍ الخَولانيِّ ﵀؛ ذكرَها أبو نُعيمٍ في «الحلية» وابنُ عساكرَ في «تاريخ دمشق» والذهبيُّ في «السير».</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المصدرُ السابق.</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