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«حَسْبُنا اللهُ ونِعْمَ الوكيل»</w:t>
      </w:r>
    </w:p>
    <w:p>
      <w:pPr>
        <w:spacing w:after="120"/>
      </w:pPr>
      <w:r>
        <w:rPr>
          <w:color w:val="8A6A1F"/>
          <w:sz w:val="36"/>
          <w:szCs w:val="36"/>
        </w:rPr>
        <w:t xml:space="preserve">مشاهدُ من أُحُدٍ ورسائلُ إلى المستضعَفين</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كلمةٌ قالَها خليلانِ</w:t>
      </w:r>
    </w:p>
    <w:p>
      <w:pPr>
        <w:spacing w:after="140" w:line="340" w:lineRule="auto"/>
        <w:jc w:val="both"/>
      </w:pPr>
      <w:r>
        <w:rPr>
          <w:color w:val="1A1A1A"/>
          <w:sz w:val="36"/>
          <w:szCs w:val="36"/>
        </w:rPr>
        <w:t xml:space="preserve">وبعدُ، أحبَّتي في الله، معاشرَ المصلِّين: **</w:t>
      </w:r>
      <w:r>
        <w:rPr>
          <w:b/>
          <w:bCs/>
          <w:color w:val="1F5C3A"/>
          <w:sz w:val="36"/>
          <w:szCs w:val="36"/>
        </w:rPr>
        <w:t xml:space="preserve">«حَسْبُنا اللهُ ونِعْمَ الوكيل»</w:t>
      </w:r>
      <w:r>
        <w:rPr>
          <w:color w:val="1A1A1A"/>
          <w:sz w:val="36"/>
          <w:szCs w:val="36"/>
        </w:rPr>
        <w:t xml:space="preserve">**؛ كلمةٌ قال عنها ابنُ عباسٍ ﵄ فيما أخرجَه البخاري:</w:t>
      </w:r>
    </w:p>
    <w:p>
      <w:pPr>
        <w:pBdr>
          <w:right w:val="single" w:sz="12" w:space="10" w:color="8A6A1F"/>
        </w:pBdr>
        <w:spacing w:before="120" w:after="160" w:line="320" w:lineRule="auto"/>
        <w:ind w:left="504" w:right="504"/>
        <w:jc w:val="both"/>
      </w:pPr>
      <w:r>
        <w:rPr>
          <w:b/>
          <w:bCs/>
          <w:color w:val="1F5C3A"/>
          <w:sz w:val="36"/>
          <w:szCs w:val="36"/>
        </w:rPr>
        <w:t xml:space="preserve">«حَسْبُنا اللهُ ونِعْمَ الوكيلُ ـ قالها إبراهيمُ ﵇ حين أُلقيَ في النار، وقالها محمدٌ ﷺ حين قالوا: ﴿إِنَّ النَّاسَ قَدْ جَمَعُوا لَكُمْ فَاخْشَوْهُمْ فَزَادَهُمْ إِيمَانًا وَقَالُوا حَسْبُنَا اللَّهُ وَنِعْمَ الْوَكِيلُ﴾»</w:t>
      </w:r>
      <w:r>
        <w:rPr>
          <w:rStyle w:val="a5"/>
          <w:sz w:val="36"/>
          <w:szCs w:val="36"/>
        </w:rPr>
        <w:footnoteReference w:id="1"/>
      </w:r>
    </w:p>
    <w:p>
      <w:pPr>
        <w:spacing w:after="140" w:line="340" w:lineRule="auto"/>
        <w:jc w:val="both"/>
      </w:pPr>
      <w:r>
        <w:rPr>
          <w:color w:val="1A1A1A"/>
          <w:sz w:val="36"/>
          <w:szCs w:val="36"/>
        </w:rPr>
        <w:t xml:space="preserve">فما قالَها ﷺ متَّكئًا على أريكتِه في ظِلٍّ وارف؛ وإنما قالَها بعد أُحُدٍ حين أرسلَ أبو سفيانَ يُنذِرُ بالعودةِ للقضاءِ عليهم.</w:t>
      </w:r>
    </w:p>
    <w:p>
      <w:pPr>
        <w:spacing w:after="140" w:line="340" w:lineRule="auto"/>
        <w:jc w:val="both"/>
      </w:pPr>
      <w:r>
        <w:rPr>
          <w:color w:val="1A1A1A"/>
          <w:sz w:val="36"/>
          <w:szCs w:val="36"/>
        </w:rPr>
        <w:t xml:space="preserve">فتعالَوا معي إلى ساحاتِ أُحُد، نتفقَّدُ القتلى ونُوجِّهُ رسالةً في زمنِ الانكسارات.</w:t>
      </w:r>
    </w:p>
    <w:p>
      <w:pPr>
        <w:spacing w:before="260" w:after="120"/>
      </w:pPr>
      <w:r>
        <w:rPr>
          <w:b/>
          <w:bCs/>
          <w:color w:val="1F5C3A"/>
          <w:sz w:val="36"/>
          <w:szCs w:val="36"/>
        </w:rPr>
        <w:t xml:space="preserve">المشهدُ الأول: حمزةُ ﵁</w:t>
      </w:r>
    </w:p>
    <w:p>
      <w:pPr>
        <w:spacing w:after="140" w:line="340" w:lineRule="auto"/>
        <w:jc w:val="both"/>
      </w:pPr>
      <w:r>
        <w:rPr>
          <w:color w:val="1A1A1A"/>
          <w:sz w:val="36"/>
          <w:szCs w:val="36"/>
        </w:rPr>
        <w:t xml:space="preserve">جاء الخبَرُ إلى النبيِّ ﷺ بمَصرَعِ عمِّه؛ فنزلَ يلتمِسُه. فلمّا رآه وقد مُثِّلَ به، وقفَ ﷺ على أشلاءِ أسدِ اللهِ وأسدِ رسولِه، فكان من أشدِّ ما رُئيَ منه؛ ثم قال:</w:t>
      </w:r>
    </w:p>
    <w:p>
      <w:pPr>
        <w:pBdr>
          <w:right w:val="single" w:sz="12" w:space="10" w:color="8A6A1F"/>
        </w:pBdr>
        <w:spacing w:before="120" w:after="160" w:line="320" w:lineRule="auto"/>
        <w:ind w:left="504" w:right="504"/>
        <w:jc w:val="both"/>
      </w:pPr>
      <w:r>
        <w:rPr>
          <w:b/>
          <w:bCs/>
          <w:color w:val="1F5C3A"/>
          <w:sz w:val="36"/>
          <w:szCs w:val="36"/>
        </w:rPr>
        <w:t xml:space="preserve">«لن أُصابَ بمثلِك أبدًا! ما وقفتُ موقفًا قطُّ أَغيَظَ إليَّ من هذا»</w:t>
      </w:r>
      <w:r>
        <w:rPr>
          <w:rStyle w:val="a5"/>
          <w:sz w:val="36"/>
          <w:szCs w:val="36"/>
        </w:rPr>
        <w:footnoteReference w:id="2"/>
      </w:r>
    </w:p>
    <w:p>
      <w:pPr>
        <w:spacing w:after="140" w:line="340" w:lineRule="auto"/>
        <w:jc w:val="both"/>
      </w:pPr>
      <w:r>
        <w:rPr>
          <w:color w:val="1A1A1A"/>
          <w:sz w:val="36"/>
          <w:szCs w:val="36"/>
        </w:rPr>
        <w:t xml:space="preserve">ثم أبصرَ ﷺ امرأةً مُقبِلةً من بعيد، فقال: **</w:t>
      </w:r>
      <w:r>
        <w:rPr>
          <w:b/>
          <w:bCs/>
          <w:color w:val="1F5C3A"/>
          <w:sz w:val="36"/>
          <w:szCs w:val="36"/>
        </w:rPr>
        <w:t xml:space="preserve">«المرأةَ المرأة!»</w:t>
      </w:r>
      <w:r>
        <w:rPr>
          <w:color w:val="1A1A1A"/>
          <w:sz w:val="36"/>
          <w:szCs w:val="36"/>
        </w:rPr>
        <w:t xml:space="preserve">** ـ كراهةَ أن ترى ما بأخيها. فانطلقَ الزُّبَيرُ ﵁ ـ وقد علِمَ أنها أمُّه صفيةُ بنتُ عبد المطلب ﵂ ـ فوقفَ بينها وبين حمزة، فقال: يا أُمَّه! فقالت: إليك عني! فقال: **إنّ رسولَ اللهِ ﷺ يَعزِمُ عليكِ أن ترجِعي**. فلمّا سمِعَتْ ذلك رجَعَتْ ﵂ ودفعَتْ ثوبَين لِيُكفَّنَ بهما أخوها. فلمّا وُجِدَ إلى جانبِه رجلٌ من الأنصارِ لا كفَنَ له، أُقرِعَ بينهما فكان الثوبُ الأطولُ للأنصاريّ.</w:t>
      </w:r>
      <w:r>
        <w:rPr>
          <w:rStyle w:val="a5"/>
          <w:sz w:val="36"/>
          <w:szCs w:val="36"/>
        </w:rPr>
        <w:footnoteReference w:id="3"/>
      </w:r>
    </w:p>
    <w:p>
      <w:pPr>
        <w:spacing w:after="140" w:line="340" w:lineRule="auto"/>
        <w:jc w:val="both"/>
      </w:pPr>
      <w:r>
        <w:rPr>
          <w:color w:val="1A1A1A"/>
          <w:sz w:val="36"/>
          <w:szCs w:val="36"/>
        </w:rPr>
        <w:t xml:space="preserve">هكذا كانت أخلاقُ الإسلامِ في أحلَكِ الساعات!</w:t>
      </w:r>
    </w:p>
    <w:p>
      <w:pPr>
        <w:spacing w:before="260" w:after="120"/>
      </w:pPr>
      <w:r>
        <w:rPr>
          <w:b/>
          <w:bCs/>
          <w:color w:val="1F5C3A"/>
          <w:sz w:val="36"/>
          <w:szCs w:val="36"/>
        </w:rPr>
        <w:t xml:space="preserve">المشهدُ الثاني: أنسُ بنُ النَّضْرِ ﵁</w:t>
      </w:r>
    </w:p>
    <w:p>
      <w:pPr>
        <w:spacing w:after="140" w:line="340" w:lineRule="auto"/>
        <w:jc w:val="both"/>
      </w:pPr>
      <w:r>
        <w:rPr>
          <w:color w:val="1A1A1A"/>
          <w:sz w:val="36"/>
          <w:szCs w:val="36"/>
        </w:rPr>
        <w:t xml:space="preserve">وقفَ ﷺ على جُثَّةٍ قد غُيِّبَتْ معالمُها فلم يعرِفْها أحد. وهذا هو **أنسُ بنُ النَّضْر** ـ عمُّ أنسِ بنِ مالكٍ ﵄ ـ الذي غابَ عن بدرٍ فقال:</w:t>
      </w:r>
    </w:p>
    <w:p>
      <w:pPr>
        <w:pBdr>
          <w:right w:val="single" w:sz="12" w:space="10" w:color="8A6A1F"/>
        </w:pBdr>
        <w:spacing w:before="120" w:after="160" w:line="320" w:lineRule="auto"/>
        <w:ind w:left="504" w:right="504"/>
        <w:jc w:val="both"/>
      </w:pPr>
      <w:r>
        <w:rPr>
          <w:b/>
          <w:bCs/>
          <w:color w:val="1F5C3A"/>
          <w:sz w:val="36"/>
          <w:szCs w:val="36"/>
        </w:rPr>
        <w:t xml:space="preserve">«يا رسولَ الله، غِبتُ عن أوَّلِ قتالٍ قاتلتَ فيه المشركين؛ لئنِ اللهُ أشهدَني قتالَ المشركين لَيَرَيَنَّ اللهُ ما أصنع»</w:t>
      </w:r>
    </w:p>
    <w:p>
      <w:pPr>
        <w:spacing w:after="140" w:line="340" w:lineRule="auto"/>
        <w:jc w:val="both"/>
      </w:pPr>
      <w:r>
        <w:rPr>
          <w:color w:val="1A1A1A"/>
          <w:sz w:val="36"/>
          <w:szCs w:val="36"/>
        </w:rPr>
        <w:t xml:space="preserve">فلمّا كان يومُ أُحُدٍ وانكشفَ المسلمون قال: **</w:t>
      </w:r>
      <w:r>
        <w:rPr>
          <w:b/>
          <w:bCs/>
          <w:color w:val="1F5C3A"/>
          <w:sz w:val="36"/>
          <w:szCs w:val="36"/>
        </w:rPr>
        <w:t xml:space="preserve">«اللهم إني أعتذِرُ إليك ممّا صنعَ هؤلاء ـ يعني أصحابَه ـ وأبرأُ إليك ممّا صنعَ هؤلاء ـ يعني المشركين»</w:t>
      </w:r>
      <w:r>
        <w:rPr>
          <w:color w:val="1A1A1A"/>
          <w:sz w:val="36"/>
          <w:szCs w:val="36"/>
        </w:rPr>
        <w:t xml:space="preserve">**. ثم تقدَّمَ فلقيَه سعدُ بنُ معاذٍ ﵁ فقال:</w:t>
      </w:r>
    </w:p>
    <w:p>
      <w:pPr>
        <w:pBdr>
          <w:right w:val="single" w:sz="12" w:space="10" w:color="8A6A1F"/>
        </w:pBdr>
        <w:spacing w:before="120" w:after="160" w:line="320" w:lineRule="auto"/>
        <w:ind w:left="504" w:right="504"/>
        <w:jc w:val="both"/>
      </w:pPr>
      <w:r>
        <w:rPr>
          <w:b/>
          <w:bCs/>
          <w:color w:val="1F5C3A"/>
          <w:sz w:val="36"/>
          <w:szCs w:val="36"/>
        </w:rPr>
        <w:t xml:space="preserve">«يا سعد، الجنةَ! ورَبِّ النَّضْرِ إني لَأجِدُ ريحَها دونَ أُحُد»</w:t>
      </w:r>
    </w:p>
    <w:p>
      <w:pPr>
        <w:spacing w:after="140" w:line="340" w:lineRule="auto"/>
        <w:jc w:val="both"/>
      </w:pPr>
      <w:r>
        <w:rPr>
          <w:color w:val="1A1A1A"/>
          <w:sz w:val="36"/>
          <w:szCs w:val="36"/>
        </w:rPr>
        <w:t xml:space="preserve">قال سعد: فما استطعتُ يا رسولَ اللهِ ما صنَع! قال أنس: فوجَدْنا به بِضعًا وثمانين ضربةً بالسيفِ أو طعنةً برُمحٍ أو رَميةً بسهم؛ فما عرَفَه أحدٌ من الناسِ حتى عرَفَتْه أختُه ببَنانِه.</w:t>
      </w:r>
      <w:r>
        <w:rPr>
          <w:rStyle w:val="a5"/>
          <w:sz w:val="36"/>
          <w:szCs w:val="36"/>
        </w:rPr>
        <w:footnoteReference w:id="4"/>
      </w:r>
    </w:p>
    <w:p>
      <w:pPr>
        <w:spacing w:after="140" w:line="340" w:lineRule="auto"/>
        <w:jc w:val="both"/>
      </w:pPr>
      <w:r>
        <w:rPr>
          <w:color w:val="1A1A1A"/>
          <w:sz w:val="36"/>
          <w:szCs w:val="36"/>
        </w:rPr>
        <w:t xml:space="preserve">وهي **الرُّبَيِّعُ بنتُ النَّضْر** ﵂ ـ التي قال فيها ﷺ في حادثةٍ أخرى: **</w:t>
      </w:r>
      <w:r>
        <w:rPr>
          <w:b/>
          <w:bCs/>
          <w:color w:val="1F5C3A"/>
          <w:sz w:val="36"/>
          <w:szCs w:val="36"/>
        </w:rPr>
        <w:t xml:space="preserve">«إنّ من عبادِ اللهِ من لو أقسمَ على اللهِ لَأبَرَّه»</w:t>
      </w:r>
      <w:r>
        <w:rPr>
          <w:color w:val="1A1A1A"/>
          <w:sz w:val="36"/>
          <w:szCs w:val="36"/>
        </w:rPr>
        <w:t xml:space="preserve">**.</w:t>
      </w:r>
      <w:r>
        <w:rPr>
          <w:rStyle w:val="a5"/>
          <w:sz w:val="36"/>
          <w:szCs w:val="36"/>
        </w:rPr>
        <w:footnoteReference w:id="5"/>
      </w:r>
      <w:r>
        <w:rPr>
          <w:color w:val="1A1A1A"/>
          <w:sz w:val="36"/>
          <w:szCs w:val="36"/>
        </w:rPr>
        <w:t xml:space="preserve"> فتفقَّدَتْ تلك الأصابعَ التي طالما حنَتْ عليها فعرَفَتْه.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المشهدُ الثالث: مُصعَبُ بنُ عُمَيرٍ ﵁</w:t>
      </w:r>
    </w:p>
    <w:p>
      <w:pPr>
        <w:spacing w:after="140" w:line="340" w:lineRule="auto"/>
        <w:jc w:val="both"/>
      </w:pPr>
      <w:r>
        <w:rPr>
          <w:color w:val="1A1A1A"/>
          <w:sz w:val="36"/>
          <w:szCs w:val="36"/>
        </w:rPr>
        <w:t xml:space="preserve">يقِفُ ﷺ على شابٍّ نحيلٍ جميل، وقد كان أعطَرَ فِتيانِ مكةَ وأنعَمَهم عيشًا؛ رآه ﷺ مرَّةً وقد لبِسَ إهابَ كبشٍ من قِلَّةِ ما يجِد، فقال:</w:t>
      </w:r>
    </w:p>
    <w:p>
      <w:pPr>
        <w:pBdr>
          <w:right w:val="single" w:sz="12" w:space="10" w:color="8A6A1F"/>
        </w:pBdr>
        <w:spacing w:before="120" w:after="160" w:line="320" w:lineRule="auto"/>
        <w:ind w:left="504" w:right="504"/>
        <w:jc w:val="both"/>
      </w:pPr>
      <w:r>
        <w:rPr>
          <w:b/>
          <w:bCs/>
          <w:color w:val="1F5C3A"/>
          <w:sz w:val="36"/>
          <w:szCs w:val="36"/>
        </w:rPr>
        <w:t xml:space="preserve">«انظُروا إلى هذا الرجلِ الذي نوَّرَ اللهُ قلبَه! لقد رأيتُه بين أبوَينِ يَغذُوانه بأطيبِ الطعامِ والشراب، فدعاه حُبُّ اللهِ ورسولِه إلى ما ترَون»</w:t>
      </w:r>
      <w:r>
        <w:rPr>
          <w:rStyle w:val="a5"/>
          <w:sz w:val="36"/>
          <w:szCs w:val="36"/>
        </w:rPr>
        <w:footnoteReference w:id="6"/>
      </w:r>
    </w:p>
    <w:p>
      <w:pPr>
        <w:spacing w:after="140" w:line="340" w:lineRule="auto"/>
        <w:jc w:val="both"/>
      </w:pPr>
      <w:r>
        <w:rPr>
          <w:color w:val="1A1A1A"/>
          <w:sz w:val="36"/>
          <w:szCs w:val="36"/>
        </w:rPr>
        <w:t xml:space="preserve">سقطَ شهيدًا يومَ أُحُدٍ وهو حاملُ لواءِ المسلمين. ويقولُ خَبّابُ بنُ الأرَتِّ ﵁ ـ بعد أن عاشَ حتى عزَّ الإسلام:</w:t>
      </w:r>
    </w:p>
    <w:p>
      <w:pPr>
        <w:pBdr>
          <w:right w:val="single" w:sz="12" w:space="10" w:color="8A6A1F"/>
        </w:pBdr>
        <w:spacing w:before="120" w:after="160" w:line="320" w:lineRule="auto"/>
        <w:ind w:left="504" w:right="504"/>
        <w:jc w:val="both"/>
      </w:pPr>
      <w:r>
        <w:rPr>
          <w:b/>
          <w:bCs/>
          <w:color w:val="1F5C3A"/>
          <w:sz w:val="36"/>
          <w:szCs w:val="36"/>
        </w:rPr>
        <w:t xml:space="preserve">«هاجَرْنا مع رسولِ اللهِ ﷺ نلتمِسُ وجهَ الله، فوقعَ أجرُنا على الله؛ فمنّا من ماتَ ولم يأكُلْ من أجرِه شيئًا: منهم مُصعَبُ بنُ عُمَير، قُتِلَ يومَ أُحُدٍ فلم نجِدْ ما نُكفِّنُه فيه إلا نَمِرة: إذا غطَّينا بها رأسَه خرجَتْ رِجلاه، وإذا غطَّينا رِجلَيه خرجَ رأسُه؛ فأمرَنا النبيُّ ﷺ أن نُغطِّيَ رأسَه وأن نجعَلَ على رِجلَيه من الإذْخِر»</w:t>
      </w:r>
      <w:r>
        <w:rPr>
          <w:rStyle w:val="a5"/>
          <w:sz w:val="36"/>
          <w:szCs w:val="36"/>
        </w:rPr>
        <w:footnoteReference w:id="7"/>
      </w:r>
    </w:p>
    <w:p>
      <w:pPr>
        <w:spacing w:after="140" w:line="340" w:lineRule="auto"/>
        <w:jc w:val="both"/>
      </w:pPr>
      <w:r>
        <w:rPr>
          <w:color w:val="1A1A1A"/>
          <w:sz w:val="36"/>
          <w:szCs w:val="36"/>
        </w:rPr>
        <w:t xml:space="preserve">وظلَّ هذا المشهدُ في قلوبِ الصحابة؛ فقد جيءَ لعبدِ الرحمنِ بنِ عوفٍ ﵁ ـ وكان صائمًا ـ بطعام، فتذكَّرَ مُصعَبًا وذكرَ هذه القصةَ ثم بكى وترَكَ الطعام.</w:t>
      </w:r>
      <w:r>
        <w:rPr>
          <w:rStyle w:val="a5"/>
          <w:sz w:val="36"/>
          <w:szCs w:val="36"/>
        </w:rPr>
        <w:footnoteReference w:id="8"/>
      </w:r>
    </w:p>
    <w:p>
      <w:pPr>
        <w:spacing w:before="260" w:after="120"/>
      </w:pPr>
      <w:r>
        <w:rPr>
          <w:b/>
          <w:bCs/>
          <w:color w:val="1F5C3A"/>
          <w:sz w:val="36"/>
          <w:szCs w:val="36"/>
        </w:rPr>
        <w:t xml:space="preserve">خاتمة: الرسالة</w:t>
      </w:r>
    </w:p>
    <w:p>
      <w:pPr>
        <w:spacing w:after="140" w:line="340" w:lineRule="auto"/>
        <w:jc w:val="both"/>
      </w:pPr>
      <w:r>
        <w:rPr>
          <w:color w:val="1A1A1A"/>
          <w:sz w:val="36"/>
          <w:szCs w:val="36"/>
        </w:rPr>
        <w:t xml:space="preserve">أيها الأحبَّة: لستُ أُريدُ من هذه الخطبةِ أحداثًا تاريخيةً تمُرُّ مُرورَ الكِرام. إنّ أمَّتَنا اليومَ تعاني، ومقدَّساتِها تُنتهَك.</w:t>
      </w:r>
    </w:p>
    <w:p>
      <w:pPr>
        <w:spacing w:after="140" w:line="340" w:lineRule="auto"/>
        <w:jc w:val="both"/>
      </w:pPr>
      <w:r>
        <w:rPr>
          <w:color w:val="1A1A1A"/>
          <w:sz w:val="36"/>
          <w:szCs w:val="36"/>
        </w:rPr>
        <w:t xml:space="preserve">فالواجبُ على كلِّ واحدٍ منّا أن يعودَ إلى اللهِ ويُصلِحَ نفسَه؛ وإيّاك أن تظُنَّ أنّ معصيتَك وبُعدَك عن اللهِ لا يعنيان شيئًا في حالِ الأمَّة. وإيّاك أن تظُنَّ أنّ القضيةَ لا تعنيك؛ فإنّ المؤمنَ من أمرِ إخوانِه في هَمّ: **</w:t>
      </w:r>
      <w:r>
        <w:rPr>
          <w:b/>
          <w:bCs/>
          <w:color w:val="1F5C3A"/>
          <w:sz w:val="36"/>
          <w:szCs w:val="36"/>
        </w:rPr>
        <w:t xml:space="preserve">«مثَلُ المؤمنين في تَوادِّهم وتَراحُمِهم وتعاطُفِهم مثَلُ الجسدِ الواحد؛ إذا اشتكى منه عضوٌ تداعى له سائرُ الجسدِ بالسَّهَرِ والحُمّى»</w:t>
      </w:r>
      <w:r>
        <w:rPr>
          <w:color w:val="1A1A1A"/>
          <w:sz w:val="36"/>
          <w:szCs w:val="36"/>
        </w:rPr>
        <w:t xml:space="preserve">**.</w:t>
      </w:r>
      <w:r>
        <w:rPr>
          <w:rStyle w:val="a5"/>
          <w:sz w:val="36"/>
          <w:szCs w:val="36"/>
        </w:rPr>
        <w:footnoteReference w:id="9"/>
      </w:r>
    </w:p>
    <w:p>
      <w:pPr>
        <w:spacing w:after="140" w:line="340" w:lineRule="auto"/>
        <w:jc w:val="both"/>
      </w:pPr>
      <w:r>
        <w:rPr>
          <w:color w:val="1A1A1A"/>
          <w:sz w:val="36"/>
          <w:szCs w:val="36"/>
        </w:rPr>
        <w:t xml:space="preserve">فهذه الأمَّةُ التي كان فيها مُصعَبٌ وأنسُ بنُ النَّضْرِ وحمزةُ لا تموت؛ ستُنجِبُ ـ بإذنِ اللهِ ـ من يُربِّيهم الآباءُ والأمهاتُ على التوحيدِ وتعظيمِ السنَّةِ والإقبالِ على الله.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وآمِنْ رَوعاتِهم، واستُرْ عَوراتِهم، وأمِدَّهم بمدَدٍ من عندك. اللهم مُنزِلَ الكتاب، مُجرِيَ السحاب، هازمَ الأحزاب: اهزِمْ من اعتدى عليهم وانصُرْنا عليهم.</w:t>
      </w:r>
      <w:r>
        <w:rPr>
          <w:rStyle w:val="a5"/>
          <w:sz w:val="36"/>
          <w:szCs w:val="36"/>
        </w:rPr>
        <w:footnoteReference w:id="10"/>
      </w:r>
      <w:r>
        <w:rPr>
          <w:color w:val="1A1A1A"/>
          <w:sz w:val="36"/>
          <w:szCs w:val="36"/>
        </w:rPr>
        <w:t xml:space="preserve"> اللهم ألِّفْ بين قلوبِ المسلمين واجمَعْ كلمتَهم على الحق.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قولِ ابن عباس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والبيهقيُّ وابنُ إسحاقَ في «السيرة» من حديث ابن مسعودٍ وغيرِه في مَصرَعِ حمزة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مغازي أُحُد؛ رواها ابنُ إسحاقَ في «السيرة» والبيهقيُّ في «الدلائل»، وبعضُ ألفاظِها في «صحيح البخاري» في قصةِ الأقرعةِ في الكفَن.</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 في قصةِ الرُّبَيِّعِ وكسرِ الثَّنِيَّة.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وأحمدُ من حديث عليٍّ ﵁ بنحوِه، وله شواهدُ في السِّيَر.</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خَبّابِ بنِ الأرَتِّ ﵁. و«النَّمِرة»: كِساءٌ مُخطَّط.</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الرحمن بن عوف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النعمان بن بشير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