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الصحبةُ الصالحة</w:t>
      </w:r>
    </w:p>
    <w:p>
      <w:pPr>
        <w:spacing w:after="120"/>
      </w:pPr>
      <w:r>
        <w:rPr>
          <w:color w:val="8A6A1F"/>
          <w:sz w:val="36"/>
          <w:szCs w:val="36"/>
        </w:rPr>
        <w:t xml:space="preserve">أثرُ الصاحبِ على العبدِ في الدنيا والآخرة</w:t>
      </w:r>
    </w:p>
    <w:p>
      <w:pPr>
        <w:pBdr>
          <w:top w:val="single" w:sz="6" w:space="8" w:color="8A6A1F"/>
        </w:pBdr>
        <w:spacing w:after="60"/>
      </w:pPr>
      <w:r>
        <w:rPr>
          <w:color w:val="555555"/>
          <w:sz w:val="36"/>
          <w:szCs w:val="36"/>
        </w:rPr>
        <w:t xml:space="preserve">خُطبةُ جُمُعة | د. عماد بن يونس السواعير العجارمة</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w:t>
      </w:r>
      <w:r>
        <w:rPr>
          <w:b/>
          <w:bCs/>
          <w:color w:val="8A6A1F"/>
          <w:sz w:val="36"/>
          <w:szCs w:val="36"/>
        </w:rPr>
        <w:t xml:space="preserve">﴿يَا أَيُّهَا الَّذِينَ آمَنُوا اتَّقُوا اللَّهَ حَقَّ تُقَاتِهِ وَلَا تَمُوتُنَّ إِلَّا وَأَنتُم مُّسْلِمُونَ﴾</w:t>
      </w:r>
      <w:r>
        <w:rPr>
          <w:color w:val="1A1A1A"/>
          <w:sz w:val="36"/>
          <w:szCs w:val="36"/>
        </w:rPr>
        <w:t xml:space="preserve">. أمّا بعدُ، فإنّ أصدقَ الحديثِ كتابُ الله، وخيرَ الهَديِ هَديُ محمدٍ ﷺ، وشرَّ الأمورِ مُحدَثاتُها، وكلَّ مُحدَثةٍ بدعة، وكلَّ بدعةٍ ضلالة، وكلَّ ضلالةٍ في النار.</w:t>
      </w:r>
    </w:p>
    <w:p>
      <w:pPr>
        <w:spacing w:before="260" w:after="120"/>
      </w:pPr>
      <w:r>
        <w:rPr>
          <w:b/>
          <w:bCs/>
          <w:color w:val="1F5C3A"/>
          <w:sz w:val="36"/>
          <w:szCs w:val="36"/>
        </w:rPr>
        <w:t xml:space="preserve">تمهيد: نداءٌ في المَلَإ الأعلى</w:t>
      </w:r>
    </w:p>
    <w:p>
      <w:pPr>
        <w:spacing w:after="140" w:line="340" w:lineRule="auto"/>
        <w:jc w:val="both"/>
      </w:pPr>
      <w:r>
        <w:rPr>
          <w:color w:val="1A1A1A"/>
          <w:sz w:val="36"/>
          <w:szCs w:val="36"/>
        </w:rPr>
        <w:t xml:space="preserve">وبعدُ، أحبَّتي في الله، معاشرَ المصلِّين: دخلَ الجنةَ وسعادتُه لا تُوصَف. وفي غمرةِ نعيمِه وحُبورِه فتَّشَ في عالمِ ذكرياتِه، فتذكَّرَ ذلك الصاحبَ الذي كان لا يأمُرُه بخيرٍ ويأمُرُه بالشرّ. فتَّشَ عنه في النعيمِ فلم يجِدْه، فنادى بصوتٍ مسموعٍ في المَلَإ الأعلى:</w:t>
      </w:r>
    </w:p>
    <w:p>
      <w:pPr>
        <w:pBdr>
          <w:right w:val="single" w:sz="12" w:space="10" w:color="8A6A1F"/>
        </w:pBdr>
        <w:spacing w:before="120" w:after="160" w:line="320" w:lineRule="auto"/>
        <w:ind w:left="504" w:right="504"/>
        <w:jc w:val="both"/>
      </w:pPr>
      <w:r>
        <w:rPr>
          <w:b/>
          <w:bCs/>
          <w:color w:val="8A6A1F"/>
          <w:sz w:val="36"/>
          <w:szCs w:val="36"/>
        </w:rPr>
        <w:t xml:space="preserve">﴿قَالَ قَائِلٌ مِّنْهُمْ إِنِّي كَانَ لِي قَرِينٌ ۝ يَقُولُ أَإِنَّكَ لَمِنَ الْمُصَدِّقِينَ ۝ أَإِذَا مِتْنَا وَكُنَّا تُرَابًا وَعِظَامًا أَإِنَّا لَمَدِينُونَ﴾</w:t>
      </w:r>
    </w:p>
    <w:p>
      <w:pPr>
        <w:spacing w:after="140" w:line="340" w:lineRule="auto"/>
        <w:jc w:val="both"/>
      </w:pPr>
      <w:r>
        <w:rPr>
          <w:color w:val="1A1A1A"/>
          <w:sz w:val="36"/>
          <w:szCs w:val="36"/>
        </w:rPr>
        <w:t xml:space="preserve">فجاءَتْه الإجابةُ تأذَنُ له بأن يطَّلِع: </w:t>
      </w:r>
      <w:r>
        <w:rPr>
          <w:b/>
          <w:bCs/>
          <w:color w:val="8A6A1F"/>
          <w:sz w:val="36"/>
          <w:szCs w:val="36"/>
        </w:rPr>
        <w:t xml:space="preserve">﴿قَالَ هَلْ أَنتُم مُّطَّلِعُونَ ۝ فَاطَّلَعَ فَرَآهُ فِي سَوَاءِ الْجَحِيمِ ۝ قَالَ تَاللَّهِ إِن كِدتَّ لَتُرْدِينِ ۝ وَلَوْلَا نِعْمَةُ رَبِّي لَكُنتُ مِنَ الْمُحْضَرِينَ﴾</w:t>
      </w:r>
      <w:r>
        <w:rPr>
          <w:color w:val="1A1A1A"/>
          <w:sz w:val="36"/>
          <w:szCs w:val="36"/>
        </w:rPr>
        <w:t xml:space="preserve">.</w:t>
      </w:r>
    </w:p>
    <w:p>
      <w:pPr>
        <w:spacing w:after="140" w:line="340" w:lineRule="auto"/>
        <w:jc w:val="both"/>
      </w:pPr>
      <w:r>
        <w:rPr>
          <w:color w:val="1A1A1A"/>
          <w:sz w:val="36"/>
          <w:szCs w:val="36"/>
        </w:rPr>
        <w:t xml:space="preserve">مشهدٌ قرآنيٌّ ينقُلُني وينقُلُك إلى أثرِ الصحبةِ عليك في الدنيا والآخرة؛ فخطبتي لكم اليومَ عن أثرِ الصاحب.</w:t>
      </w:r>
    </w:p>
    <w:p>
      <w:pPr>
        <w:spacing w:before="260" w:after="120"/>
      </w:pPr>
      <w:r>
        <w:rPr>
          <w:b/>
          <w:bCs/>
          <w:color w:val="1F5C3A"/>
          <w:sz w:val="36"/>
          <w:szCs w:val="36"/>
        </w:rPr>
        <w:t xml:space="preserve">تمهيد: منزلةُ الصاحب</w:t>
      </w:r>
    </w:p>
    <w:p>
      <w:pPr>
        <w:spacing w:after="140" w:line="340" w:lineRule="auto"/>
        <w:jc w:val="both"/>
      </w:pPr>
      <w:r>
        <w:rPr>
          <w:color w:val="1A1A1A"/>
          <w:sz w:val="36"/>
          <w:szCs w:val="36"/>
        </w:rPr>
        <w:t xml:space="preserve">اعلَمْ ـ وفَّقَك اللهُ ـ أنّ للصاحبِ والخليلِ منزلةً عظيمةً وأثرًا عجيبًا عليك في الدنيا والآخرة؛ ولذلك أرشدَك النبيُّ ﷺ بل حذَّرَك فقال:</w:t>
      </w:r>
    </w:p>
    <w:p>
      <w:pPr>
        <w:pBdr>
          <w:right w:val="single" w:sz="12" w:space="10" w:color="8A6A1F"/>
        </w:pBdr>
        <w:spacing w:before="120" w:after="160" w:line="320" w:lineRule="auto"/>
        <w:ind w:left="504" w:right="504"/>
        <w:jc w:val="both"/>
      </w:pPr>
      <w:r>
        <w:rPr>
          <w:b/>
          <w:bCs/>
          <w:color w:val="1F5C3A"/>
          <w:sz w:val="36"/>
          <w:szCs w:val="36"/>
        </w:rPr>
        <w:t xml:space="preserve">«لا تُصاحِبْ إلا مؤمنًا، ولا يأكُلْ طعامَك إلا تَقِيّ»</w:t>
      </w:r>
      <w:r>
        <w:rPr>
          <w:rStyle w:val="a5"/>
          <w:sz w:val="36"/>
          <w:szCs w:val="36"/>
        </w:rPr>
        <w:footnoteReference w:id="1"/>
      </w:r>
    </w:p>
    <w:p>
      <w:pPr>
        <w:spacing w:before="260" w:after="120"/>
      </w:pPr>
      <w:r>
        <w:rPr>
          <w:b/>
          <w:bCs/>
          <w:color w:val="1F5C3A"/>
          <w:sz w:val="36"/>
          <w:szCs w:val="36"/>
        </w:rPr>
        <w:t xml:space="preserve">أولًا: الصاحبُ سببُ الثباتِ أو الانتكاسة</w:t>
      </w:r>
    </w:p>
    <w:p>
      <w:pPr>
        <w:spacing w:after="140" w:line="340" w:lineRule="auto"/>
        <w:jc w:val="both"/>
      </w:pPr>
      <w:r>
        <w:rPr>
          <w:color w:val="1A1A1A"/>
          <w:sz w:val="36"/>
          <w:szCs w:val="36"/>
        </w:rPr>
        <w:t xml:space="preserve">فالصاحبُ الصالحُ سببٌ في ثباتِك على التوحيدِ وعلى العقيدةِ الصحيحة، وعلى سُنَّةِ النبيِّ ﷺ؛ يَنأى بك عن الشركِ والخرافاتِ والمُحدَثات، ويُرشِدُك إلى هَديِ المصطفى ﷺ. هو سببٌ في ثباتِك على الطاعة: يُوقِظُك لصلاةِ الفجر، ويحُثُّك على صِلَةِ الأرحام، ويُذكِّرُك ببِرِّ الوالدين، ويأمُرُك بالمعروفِ وينهاك عن المنكر، ويتفقَّدُ قلبَك، ويسألُ عن قيامِك ووِردِك من القرآن.</w:t>
      </w:r>
    </w:p>
    <w:p>
      <w:pPr>
        <w:spacing w:after="140" w:line="340" w:lineRule="auto"/>
        <w:jc w:val="both"/>
      </w:pPr>
      <w:r>
        <w:rPr>
          <w:color w:val="1A1A1A"/>
          <w:sz w:val="36"/>
          <w:szCs w:val="36"/>
        </w:rPr>
        <w:t xml:space="preserve">وصدقَ نبيُّنا ﷺ:</w:t>
      </w:r>
    </w:p>
    <w:p>
      <w:pPr>
        <w:pBdr>
          <w:right w:val="single" w:sz="12" w:space="10" w:color="8A6A1F"/>
        </w:pBdr>
        <w:spacing w:before="120" w:after="160" w:line="320" w:lineRule="auto"/>
        <w:ind w:left="504" w:right="504"/>
        <w:jc w:val="both"/>
      </w:pPr>
      <w:r>
        <w:rPr>
          <w:b/>
          <w:bCs/>
          <w:color w:val="1F5C3A"/>
          <w:sz w:val="36"/>
          <w:szCs w:val="36"/>
        </w:rPr>
        <w:t xml:space="preserve">«مثَلُ الجليسِ الصالحِ والسَّوءِ كحاملِ المِسكِ ونافخِ الكِير؛ فحاملُ المِسكِ إمّا أن يُحذِيَك، وإمّا أن تبتاعَ منه، وإمّا أن تجِدَ منه ريحًا طيِّبة. ونافخُ الكِيرِ إمّا أن يُحرِقَ ثيابَك، وإمّا أن تجِدَ منه ريحًا خبيثة»</w:t>
      </w:r>
      <w:r>
        <w:rPr>
          <w:rStyle w:val="a5"/>
          <w:sz w:val="36"/>
          <w:szCs w:val="36"/>
        </w:rPr>
        <w:footnoteReference w:id="2"/>
      </w:r>
    </w:p>
    <w:p>
      <w:pPr>
        <w:spacing w:before="200" w:after="100"/>
      </w:pPr>
      <w:r>
        <w:rPr>
          <w:b/>
          <w:bCs/>
          <w:color w:val="1A1A1A"/>
          <w:sz w:val="36"/>
          <w:szCs w:val="36"/>
        </w:rPr>
        <w:t xml:space="preserve">أبو بكرٍ في الغار</w:t>
      </w:r>
    </w:p>
    <w:p>
      <w:pPr>
        <w:spacing w:after="140" w:line="340" w:lineRule="auto"/>
        <w:jc w:val="both"/>
      </w:pPr>
      <w:r>
        <w:rPr>
          <w:color w:val="1A1A1A"/>
          <w:sz w:val="36"/>
          <w:szCs w:val="36"/>
        </w:rPr>
        <w:t xml:space="preserve">تأمَّلْ كيف ثبَتَ أبو بكرٍ ﵁ لمّا صاحبَ محمدًا ﷺ. في الغارِ قلِقَ الصدِّيقُ على النبيِّ ﷺ، فجاءَتْ كلماتُ الصاحبِ تُثبِّتُه، وسجَّلَها القرآنُ إلى يومِ الدين:</w:t>
      </w:r>
    </w:p>
    <w:p>
      <w:pPr>
        <w:pBdr>
          <w:right w:val="single" w:sz="12" w:space="10" w:color="8A6A1F"/>
        </w:pBdr>
        <w:spacing w:before="120" w:after="160" w:line="320" w:lineRule="auto"/>
        <w:ind w:left="504" w:right="504"/>
        <w:jc w:val="both"/>
      </w:pPr>
      <w:r>
        <w:rPr>
          <w:b/>
          <w:bCs/>
          <w:color w:val="8A6A1F"/>
          <w:sz w:val="36"/>
          <w:szCs w:val="36"/>
        </w:rPr>
        <w:t xml:space="preserve">﴿إِذْ يَقُولُ لِصَاحِبِهِ لَا تَحْزَنْ إِنَّ اللَّهَ مَعَنَا﴾</w:t>
      </w:r>
    </w:p>
    <w:p>
      <w:pPr>
        <w:spacing w:before="200" w:after="100"/>
      </w:pPr>
      <w:r>
        <w:rPr>
          <w:b/>
          <w:bCs/>
          <w:color w:val="1A1A1A"/>
          <w:sz w:val="36"/>
          <w:szCs w:val="36"/>
        </w:rPr>
        <w:t xml:space="preserve">وعلى النقيضِ: عُقبةُ بنُ أبي مُعَيط</w:t>
      </w:r>
    </w:p>
    <w:p>
      <w:pPr>
        <w:spacing w:after="140" w:line="340" w:lineRule="auto"/>
        <w:jc w:val="both"/>
      </w:pPr>
      <w:r>
        <w:rPr>
          <w:color w:val="1A1A1A"/>
          <w:sz w:val="36"/>
          <w:szCs w:val="36"/>
        </w:rPr>
        <w:t xml:space="preserve">فقد كان قد قارَبَ الإسلامَ حتى إذا قدِمَ صاحبُه أُبَيُّ بنُ خَلَفٍ من سفرِه أنكرَ عليه وقال: وجهي من وجهِك حرامٌ حتى تأتيَ محمدًا فتفعلَ به كذا! فأطاعَ صاحبَه وهَوى؛ فأنزلَ اللهُ فيه:</w:t>
      </w:r>
    </w:p>
    <w:p>
      <w:pPr>
        <w:pBdr>
          <w:right w:val="single" w:sz="12" w:space="10" w:color="8A6A1F"/>
        </w:pBdr>
        <w:spacing w:before="120" w:after="160" w:line="320" w:lineRule="auto"/>
        <w:ind w:left="504" w:right="504"/>
        <w:jc w:val="both"/>
      </w:pPr>
      <w:r>
        <w:rPr>
          <w:b/>
          <w:bCs/>
          <w:color w:val="8A6A1F"/>
          <w:sz w:val="36"/>
          <w:szCs w:val="36"/>
        </w:rPr>
        <w:t xml:space="preserve">﴿وَيَوْمَ يَعَضُّ الظَّالِمُ عَلَىٰ يَدَيْهِ يَقُولُ يَا لَيْتَنِي اتَّخَذْتُ مَعَ الرَّسُولِ سَبِيلًا ۝ يَا وَيْلَتَىٰ لَيْتَنِي لَمْ أَتَّخِذْ فُلَانًا خَلِيلًا ۝ لَّقَدْ أَضَلَّنِي عَنِ الذِّكْرِ بَعْدَ إِذْ جَاءَنِي ۗ وَكَانَ الشَّيْطَانُ لِلْإِنسَانِ خَذُولًا﴾</w:t>
      </w:r>
      <w:r>
        <w:rPr>
          <w:rStyle w:val="a5"/>
          <w:sz w:val="36"/>
          <w:szCs w:val="36"/>
        </w:rPr>
        <w:footnoteReference w:id="3"/>
      </w:r>
    </w:p>
    <w:p>
      <w:pPr>
        <w:spacing w:before="200" w:after="100"/>
      </w:pPr>
      <w:r>
        <w:rPr>
          <w:b/>
          <w:bCs/>
          <w:color w:val="1A1A1A"/>
          <w:sz w:val="36"/>
          <w:szCs w:val="36"/>
        </w:rPr>
        <w:t xml:space="preserve">الإمامُ أحمدُ ومحمدُ بنُ نوح</w:t>
      </w:r>
    </w:p>
    <w:p>
      <w:pPr>
        <w:spacing w:after="140" w:line="340" w:lineRule="auto"/>
        <w:jc w:val="both"/>
      </w:pPr>
      <w:r>
        <w:rPr>
          <w:color w:val="1A1A1A"/>
          <w:sz w:val="36"/>
          <w:szCs w:val="36"/>
        </w:rPr>
        <w:t xml:space="preserve">ولمّا أحسنَ الإمامُ أحمدُ ﵀ اختيارَ صاحبِه ثبَت. سِيقَ إلى المأمونِ للامتحان، ومعه رجلٌ صالحٌ من أهلِ العلمِ اسمُه محمدُ بنُ نوح؛ قال عنه أحمدُ: ما رأيتُ أحدًا ـ على حداثةِ سِنِّه وقَدْرِ عِلمِه ـ أقومَ بأمرِ اللهِ منه. فمرِضَ في الطريقِ مرضَ موتِه فقال: يا أبا عبدِ الله، اللهَ اللهَ! إنك لستَ مِثلي؛ إنك رجلٌ يُقتدى بك، وقد مدَّ الخلقُ أعناقَهم إليك لِما يكونُ منك، فاتَّقِ اللهَ واثبُتْ لأمرِ الله. ثم ماتَ في قيدِه؛ قال أحمد: فتولَّيتُ أمرَه، ودفنتُه وصلَّيتُ عليه.</w:t>
      </w:r>
      <w:r>
        <w:rPr>
          <w:rStyle w:val="a5"/>
          <w:sz w:val="36"/>
          <w:szCs w:val="36"/>
        </w:rPr>
        <w:footnoteReference w:id="4"/>
      </w:r>
    </w:p>
    <w:p>
      <w:pPr>
        <w:spacing w:after="140" w:line="340" w:lineRule="auto"/>
        <w:jc w:val="both"/>
      </w:pPr>
      <w:r>
        <w:rPr>
          <w:color w:val="1A1A1A"/>
          <w:sz w:val="36"/>
          <w:szCs w:val="36"/>
        </w:rPr>
        <w:t xml:space="preserve">صحبةٌ صالحةٌ كانت سببًا في ثباتِ إمامِ أهلِ السنَّة.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قلتُ إنّ الأثرَ الأولَ للصاحبِ أنه سببٌ في ثباتِك أو في انتكاستِك. وواللهِ رأيتُ بعيني ممَّن لم يُحسِنِ اختيارَ أصحابِه: بعد أن كان يدعو إلى التوحيدِ صار يدعو إلى ضدِّه. وصدقَ القائل:</w:t>
      </w:r>
    </w:p>
    <w:p>
      <w:pPr>
        <w:pBdr>
          <w:right w:val="single" w:sz="12" w:space="10" w:color="8A6A1F"/>
        </w:pBdr>
        <w:spacing w:before="120" w:after="160" w:line="320" w:lineRule="auto"/>
        <w:ind w:left="504" w:right="504"/>
        <w:jc w:val="both"/>
      </w:pPr>
      <w:r>
        <w:rPr>
          <w:b/>
          <w:bCs/>
          <w:color w:val="1F5C3A"/>
          <w:sz w:val="36"/>
          <w:szCs w:val="36"/>
        </w:rPr>
        <w:t xml:space="preserve">ومَن يكُنِ الغُرابُ له دليلًا ... يمُرَّ به على جِيَفِ الكِلابِ</w:t>
      </w:r>
    </w:p>
    <w:p>
      <w:pPr>
        <w:spacing w:before="260" w:after="120"/>
      </w:pPr>
      <w:r>
        <w:rPr>
          <w:b/>
          <w:bCs/>
          <w:color w:val="1F5C3A"/>
          <w:sz w:val="36"/>
          <w:szCs w:val="36"/>
        </w:rPr>
        <w:t xml:space="preserve">ثانيًا: الصاحبُ الصالحُ مغفرة</w:t>
      </w:r>
    </w:p>
    <w:p>
      <w:pPr>
        <w:spacing w:after="140" w:line="340" w:lineRule="auto"/>
        <w:jc w:val="both"/>
      </w:pPr>
      <w:r>
        <w:rPr>
          <w:color w:val="1A1A1A"/>
          <w:sz w:val="36"/>
          <w:szCs w:val="36"/>
        </w:rPr>
        <w:t xml:space="preserve">نعم، يا من تُسرِفُ على نفسِك بالذنوب ـ ولا معصومَ بيننا ـ إنّ صحبتَك الصالحةَ سببٌ في مغفرةِ ذنوبِك. أَما سمِعتَ حديثَ أبي هريرةَ ﵁ في </w:t>
      </w:r>
      <w:r>
        <w:rPr>
          <w:b/>
          <w:bCs/>
          <w:color w:val="1F5C3A"/>
          <w:sz w:val="36"/>
          <w:szCs w:val="36"/>
        </w:rPr>
        <w:t xml:space="preserve">«الصحيحين»</w:t>
      </w:r>
      <w:r>
        <w:rPr>
          <w:color w:val="1A1A1A"/>
          <w:sz w:val="36"/>
          <w:szCs w:val="36"/>
        </w:rPr>
        <w:t xml:space="preserve">: أنّ للهِ ملائكةً سَيّارةً يلتمِسون مجالسَ الذِّكر، فإذا وجدوا مجلسًا فيه ذِكرٌ قعَدوا معهم؛ فإذا عادوا إلى ربِّهم سألَهم ـ وهو أعلمُ بهم ـ فيُخبِرونه. فيقولُ سبحانه:</w:t>
      </w:r>
    </w:p>
    <w:p>
      <w:pPr>
        <w:pBdr>
          <w:right w:val="single" w:sz="12" w:space="10" w:color="8A6A1F"/>
        </w:pBdr>
        <w:spacing w:before="120" w:after="160" w:line="320" w:lineRule="auto"/>
        <w:ind w:left="504" w:right="504"/>
        <w:jc w:val="both"/>
      </w:pPr>
      <w:r>
        <w:rPr>
          <w:b/>
          <w:bCs/>
          <w:color w:val="1F5C3A"/>
          <w:sz w:val="36"/>
          <w:szCs w:val="36"/>
        </w:rPr>
        <w:t xml:space="preserve">«أُشهِدُكم أني قد غفرتُ لهم»</w:t>
      </w:r>
    </w:p>
    <w:p>
      <w:pPr>
        <w:spacing w:after="140" w:line="340" w:lineRule="auto"/>
        <w:jc w:val="both"/>
      </w:pPr>
      <w:r>
        <w:rPr>
          <w:color w:val="1A1A1A"/>
          <w:sz w:val="36"/>
          <w:szCs w:val="36"/>
        </w:rPr>
        <w:t xml:space="preserve">فتقولُ الملائكة: يا ربِّ، فيهم فلانٌ ليس منهم، إنما جاءَ لحاجة! فيقولُ الله:</w:t>
      </w:r>
    </w:p>
    <w:p>
      <w:pPr>
        <w:pBdr>
          <w:right w:val="single" w:sz="12" w:space="10" w:color="8A6A1F"/>
        </w:pBdr>
        <w:spacing w:before="120" w:after="160" w:line="320" w:lineRule="auto"/>
        <w:ind w:left="504" w:right="504"/>
        <w:jc w:val="both"/>
      </w:pPr>
      <w:r>
        <w:rPr>
          <w:b/>
          <w:bCs/>
          <w:color w:val="1F5C3A"/>
          <w:sz w:val="36"/>
          <w:szCs w:val="36"/>
        </w:rPr>
        <w:t xml:space="preserve">«هم القومُ لا يَشقى بهم جليسُهم»</w:t>
      </w:r>
      <w:r>
        <w:rPr>
          <w:rStyle w:val="a5"/>
          <w:sz w:val="36"/>
          <w:szCs w:val="36"/>
        </w:rPr>
        <w:footnoteReference w:id="5"/>
      </w:r>
    </w:p>
    <w:p>
      <w:pPr>
        <w:spacing w:after="140" w:line="340" w:lineRule="auto"/>
        <w:jc w:val="both"/>
      </w:pPr>
      <w:r>
        <w:rPr>
          <w:color w:val="1A1A1A"/>
          <w:sz w:val="36"/>
          <w:szCs w:val="36"/>
        </w:rPr>
        <w:t xml:space="preserve">فاللهَ اللهَ في مُجالَسةِ الصالحين!</w:t>
      </w:r>
    </w:p>
    <w:p>
      <w:pPr>
        <w:spacing w:before="260" w:after="120"/>
      </w:pPr>
      <w:r>
        <w:rPr>
          <w:b/>
          <w:bCs/>
          <w:color w:val="1F5C3A"/>
          <w:sz w:val="36"/>
          <w:szCs w:val="36"/>
        </w:rPr>
        <w:t xml:space="preserve">ثالثًا: الصاحبُ الصالحُ شفاعةٌ يومَ القيامة</w:t>
      </w:r>
    </w:p>
    <w:p>
      <w:pPr>
        <w:spacing w:after="140" w:line="340" w:lineRule="auto"/>
        <w:jc w:val="both"/>
      </w:pPr>
      <w:r>
        <w:rPr>
          <w:color w:val="1A1A1A"/>
          <w:sz w:val="36"/>
          <w:szCs w:val="36"/>
        </w:rPr>
        <w:t xml:space="preserve">قد تحتاجُ ـ وأسألُ اللهَ ألّا نحتاج ـ إلى شفاعةٍ تُخرِجُك من النار. وقد جاء في حديث أبي سعيدٍ الخُدريِّ ﵁ في </w:t>
      </w:r>
      <w:r>
        <w:rPr>
          <w:b/>
          <w:bCs/>
          <w:color w:val="1F5C3A"/>
          <w:sz w:val="36"/>
          <w:szCs w:val="36"/>
        </w:rPr>
        <w:t xml:space="preserve">«الصحيحين»</w:t>
      </w:r>
      <w:r>
        <w:rPr>
          <w:color w:val="1A1A1A"/>
          <w:sz w:val="36"/>
          <w:szCs w:val="36"/>
        </w:rPr>
        <w:t xml:space="preserve"> أنه إذا خلَصَ المؤمنون من النارِ ودخلوا الجنة قالوا: ربَّنا، إخوانُنا كانوا يُصلُّون معنا ويصومون معنا ويعملون معنا! فيقولُ الله:</w:t>
      </w:r>
    </w:p>
    <w:p>
      <w:pPr>
        <w:pBdr>
          <w:right w:val="single" w:sz="12" w:space="10" w:color="8A6A1F"/>
        </w:pBdr>
        <w:spacing w:before="120" w:after="160" w:line="320" w:lineRule="auto"/>
        <w:ind w:left="504" w:right="504"/>
        <w:jc w:val="both"/>
      </w:pPr>
      <w:r>
        <w:rPr>
          <w:b/>
          <w:bCs/>
          <w:color w:val="1F5C3A"/>
          <w:sz w:val="36"/>
          <w:szCs w:val="36"/>
        </w:rPr>
        <w:t xml:space="preserve">«اذهبوا فمن وجدتُم في قلبِه مثقالَ دينارٍ من إيمانٍ فأَخرِجوه»</w:t>
      </w:r>
    </w:p>
    <w:p>
      <w:pPr>
        <w:spacing w:after="140" w:line="340" w:lineRule="auto"/>
        <w:jc w:val="both"/>
      </w:pPr>
      <w:r>
        <w:rPr>
          <w:color w:val="1A1A1A"/>
          <w:sz w:val="36"/>
          <w:szCs w:val="36"/>
        </w:rPr>
        <w:t xml:space="preserve">ويُحرِّمُ اللهُ صُوَرَهم على النار، فيُخرِجون خلقًا كثيرًا؛ ثم يقولُ ﷺ: </w:t>
      </w:r>
      <w:r>
        <w:rPr>
          <w:b/>
          <w:bCs/>
          <w:color w:val="1F5C3A"/>
          <w:sz w:val="36"/>
          <w:szCs w:val="36"/>
        </w:rPr>
        <w:t xml:space="preserve">«فوالذي نفسي بيدِه، ما مِنكم من أحدٍ أشدَّ مُناشَدةً للهِ في استقصاءِ الحقِّ من المؤمنينَ للهِ يومَ القيامةِ لإخوانِهم الذين في النار»</w:t>
      </w:r>
      <w:r>
        <w:rPr>
          <w:color w:val="1A1A1A"/>
          <w:sz w:val="36"/>
          <w:szCs w:val="36"/>
        </w:rPr>
        <w:t xml:space="preserve">.</w:t>
      </w:r>
      <w:r>
        <w:rPr>
          <w:rStyle w:val="a5"/>
          <w:sz w:val="36"/>
          <w:szCs w:val="36"/>
        </w:rPr>
        <w:footnoteReference w:id="6"/>
      </w:r>
    </w:p>
    <w:p>
      <w:pPr>
        <w:spacing w:after="140" w:line="340" w:lineRule="auto"/>
        <w:jc w:val="both"/>
      </w:pPr>
      <w:r>
        <w:rPr>
          <w:color w:val="1A1A1A"/>
          <w:sz w:val="36"/>
          <w:szCs w:val="36"/>
        </w:rPr>
        <w:t xml:space="preserve">فصاحبُك الذي كان يُصلِّي معك ويصحَبُك إلى المسجدِ ويدُلُّك على الصدقةِ ويُذكِّرُك بالصيامِ والقيام ـ هو الذي يُناشِدُ اللهَ فيك يومَ القيامة! ولذلك كان الحسنُ البصريُّ ﵀ يقول: استكثِروا من الإخوانِ المؤمنين؛ فإنّ لهم شفاعةً يومَ القيامة.</w:t>
      </w:r>
      <w:r>
        <w:rPr>
          <w:rStyle w:val="a5"/>
          <w:sz w:val="36"/>
          <w:szCs w:val="36"/>
        </w:rPr>
        <w:footnoteReference w:id="7"/>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هم القومُ لا يَشقى بهم جليسُهم. أسألُ اللهَ جلَّ في عُلاه أن يرزُقَنا أصحابًا صالحين يسيرون بنا إلى جنّاتِ ربِّ العالمين؛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وأبو داود والترمذيُّ وابنُ حبان والحاكمُ من حديث أبي سعيدٍ الخُدريِّ ﵁، وحسَّنه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موسى الأشعريِّ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سببُ النزولِ في عُقبةَ بنِ أبي مُعَيطٍ وأُبَيِّ بنِ خَلَف؛ ذكرَه المفسِّرون كالطبريِّ وابنِ كثيرٍ في تفسيرِ سورةِ الفرقان.</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أحمدَ ﵀ في محنةِ خلقِ القرآن؛ رواها ابنُ الجوزيِّ في «مناقب الإمام أحمد» والذهبيُّ في «سير أعلام النبلاء».</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 واللفظُ لمسلم.</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سعيدٍ الخُدريِّ ﵁ في حديثِ الشفاعةِ الطويل.</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الحسن البصريِّ ﵀؛ ذكره ابنُ أبي الدنيا وأبو نُعيمٍ في «الحلية».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