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spacing w:before="400" w:after="60"/>
      </w:pPr>
      <w:r>
        <w:rPr>
          <w:b/>
          <w:bCs/>
          <w:color w:val="1F5C3A"/>
          <w:sz w:val="36"/>
          <w:szCs w:val="36"/>
        </w:rPr>
        <w:t xml:space="preserve">مُؤتة: من هنا مرَّتْ خُيولُهم</w:t>
      </w:r>
    </w:p>
    <w:p>
      <w:pPr>
        <w:spacing w:after="120"/>
      </w:pPr>
      <w:r>
        <w:rPr>
          <w:color w:val="8A6A1F"/>
          <w:sz w:val="36"/>
          <w:szCs w:val="36"/>
        </w:rPr>
        <w:t xml:space="preserve">دروسٌ وعِبَرٌ من ثرى مُؤتةَ الطاهرة</w:t>
      </w:r>
    </w:p>
    <w:p>
      <w:pPr>
        <w:pBdr>
          <w:top w:val="single" w:sz="6" w:space="8" w:color="8A6A1F"/>
        </w:pBdr>
        <w:spacing w:after="60"/>
      </w:pPr>
      <w:r>
        <w:rPr>
          <w:color w:val="555555"/>
          <w:sz w:val="36"/>
          <w:szCs w:val="36"/>
        </w:rPr>
        <w:t xml:space="preserve">خُطبةُ جُمُعة | د. عماد السواعير</w:t>
      </w:r>
    </w:p>
    <w:p>
      <w:pPr>
        <w:spacing w:after="320"/>
      </w:pPr>
      <w:r>
        <w:rPr>
          <w:i/>
          <w:iCs/>
          <w:color w:val="777777"/>
          <w:sz w:val="36"/>
          <w:szCs w:val="36"/>
        </w:rPr>
        <w:t xml:space="preserve">نصٌّ مُفرَّغٌ ومُهذَّبٌ للنشر</w:t>
      </w:r>
    </w:p>
    <w:p>
      <w:pPr>
        <w:pBdr>
          <w:bottom w:val="single" w:sz="8" w:space="6" w:color="1F5C3A"/>
        </w:pBdr>
        <w:spacing w:before="320" w:after="200"/>
      </w:pPr>
      <w:r>
        <w:rPr>
          <w:b/>
          <w:bCs/>
          <w:color w:val="1F5C3A"/>
          <w:sz w:val="36"/>
          <w:szCs w:val="36"/>
        </w:rPr>
        <w:t xml:space="preserve">الخُطبةُ الأولى</w:t>
      </w:r>
    </w:p>
    <w:p>
      <w:pPr>
        <w:spacing w:after="140" w:line="340" w:lineRule="auto"/>
        <w:jc w:val="both"/>
      </w:pPr>
      <w:r>
        <w:rPr>
          <w:color w:val="1A1A1A"/>
          <w:sz w:val="36"/>
          <w:szCs w:val="36"/>
        </w:rPr>
        <w:t xml:space="preserve">إنّ الحمدَ للهِ، نحمدُه ونستعينُه ونستغفرُه، ونعوذُ باللهِ من شرورِ أنفسِنا ومن سيِّئاتِ أعمالِنا؛ من يَهدِه اللهُ فلا مُضِلَّ له، ومن يُضلِلْ فلا هاديَ له. وأشهدُ أن لا إلهَ إلا اللهُ وحدَه لا شريكَ له، وأشهدُ أنّ محمدًا عبدُه ورسولُه ﷺ. أمّا بعدُ، فإنّ أصدقَ الحديثِ كتابُ الله، وخيرَ الهَديِ هَديُ محمدٍ ﷺ، وشرَّ الأمورِ مُحدَثاتُها.</w:t>
      </w:r>
    </w:p>
    <w:p>
      <w:pPr>
        <w:spacing w:before="260" w:after="120"/>
      </w:pPr>
      <w:r>
        <w:rPr>
          <w:b/>
          <w:bCs/>
          <w:color w:val="1F5C3A"/>
          <w:sz w:val="36"/>
          <w:szCs w:val="36"/>
        </w:rPr>
        <w:t xml:space="preserve">تمهيد: من هنا مرَّتْ خُيولُهم</w:t>
      </w:r>
    </w:p>
    <w:p>
      <w:pPr>
        <w:spacing w:after="140" w:line="340" w:lineRule="auto"/>
        <w:jc w:val="both"/>
      </w:pPr>
      <w:r>
        <w:rPr>
          <w:color w:val="1A1A1A"/>
          <w:sz w:val="36"/>
          <w:szCs w:val="36"/>
        </w:rPr>
        <w:t xml:space="preserve">وبعدُ، أحبَّتي في الله: **ركِبَ فرسَه ومضى مُخلِّفًا قلبَه وشَوقَه وراءَه، حتى إذا بلَغوا ثَنيَّةَ الوَداعِ استوقفَتْهم دموعُه.** فقالوا: **ما يُبكيك يا ابنَ رَواحة؟** فقال:</w:t>
      </w:r>
    </w:p>
    <w:p>
      <w:pPr>
        <w:pBdr>
          <w:right w:val="single" w:sz="12" w:space="10" w:color="8A6A1F"/>
        </w:pBdr>
        <w:spacing w:before="120" w:after="160" w:line="320" w:lineRule="auto"/>
        <w:ind w:left="504" w:right="504"/>
        <w:jc w:val="both"/>
      </w:pPr>
      <w:r>
        <w:rPr>
          <w:b/>
          <w:bCs/>
          <w:color w:val="1F5C3A"/>
          <w:sz w:val="36"/>
          <w:szCs w:val="36"/>
        </w:rPr>
        <w:t xml:space="preserve">«أَما واللهِ ما بي حُبُّ الدنيا ولا صَبابةٌ إليكم، ولكنّي سمِعتُ رسولَ اللهِ ﷺ يقرأُ آيةً من كتابِ اللهِ يذكُرُ فيها النار: ﴿وَإِن مِّنكُمْ إِلَّا وَارِدُهَا﴾؛ فلستُ أدري كيف لي بالصَّدَرِ بعد الوُرود!»</w:t>
      </w:r>
      <w:r>
        <w:rPr>
          <w:rStyle w:val="a5"/>
          <w:sz w:val="36"/>
          <w:szCs w:val="36"/>
        </w:rPr>
        <w:footnoteReference w:id="1"/>
      </w:r>
    </w:p>
    <w:p>
      <w:pPr>
        <w:spacing w:after="140" w:line="340" w:lineRule="auto"/>
        <w:jc w:val="both"/>
      </w:pPr>
      <w:r>
        <w:rPr>
          <w:color w:val="1A1A1A"/>
          <w:sz w:val="36"/>
          <w:szCs w:val="36"/>
        </w:rPr>
        <w:t xml:space="preserve">**أحبَّتي في الله: من هنا مرَّتْ خُيولُهم؛ من أرضِ البَلقاءِ وتُخومِها إلى مُؤتة.** فوقفتُنا اليومَ مع مُؤتة ـ وما أدراكم ما مُؤتة!</w:t>
      </w:r>
    </w:p>
    <w:p>
      <w:pPr>
        <w:spacing w:after="140" w:line="340" w:lineRule="auto"/>
        <w:jc w:val="both"/>
      </w:pPr>
      <w:r>
        <w:rPr>
          <w:color w:val="1A1A1A"/>
          <w:sz w:val="36"/>
          <w:szCs w:val="36"/>
        </w:rPr>
        <w:t xml:space="preserve">**ودَّعَهمُ النبيُّ ﷺ فأمَّرَ عليهم زيدًا، وقال:**</w:t>
      </w:r>
    </w:p>
    <w:p>
      <w:pPr>
        <w:pBdr>
          <w:right w:val="single" w:sz="12" w:space="10" w:color="8A6A1F"/>
        </w:pBdr>
        <w:spacing w:before="120" w:after="160" w:line="320" w:lineRule="auto"/>
        <w:ind w:left="504" w:right="504"/>
        <w:jc w:val="both"/>
      </w:pPr>
      <w:r>
        <w:rPr>
          <w:b/>
          <w:bCs/>
          <w:color w:val="1F5C3A"/>
          <w:sz w:val="36"/>
          <w:szCs w:val="36"/>
        </w:rPr>
        <w:t xml:space="preserve">«فإن قُتِلَ زيدٌ فجعفر، فإن قُتِلَ جعفرٌ فعبدُ اللهِ بنُ رَواحة»</w:t>
      </w:r>
      <w:r>
        <w:rPr>
          <w:rStyle w:val="a5"/>
          <w:sz w:val="36"/>
          <w:szCs w:val="36"/>
        </w:rPr>
        <w:footnoteReference w:id="2"/>
      </w:r>
    </w:p>
    <w:p>
      <w:pPr>
        <w:spacing w:after="140" w:line="340" w:lineRule="auto"/>
        <w:jc w:val="both"/>
      </w:pPr>
      <w:r>
        <w:rPr>
          <w:color w:val="1A1A1A"/>
          <w:sz w:val="36"/>
          <w:szCs w:val="36"/>
        </w:rPr>
        <w:t xml:space="preserve">**ثم سطَّرَ للبشريةِ ما يُعلِّمُ كلَّ غادرٍ وطاغيةٍ أنّ هذا الدينَ دينٌ عظيم:**</w:t>
      </w:r>
    </w:p>
    <w:p>
      <w:pPr>
        <w:pBdr>
          <w:right w:val="single" w:sz="12" w:space="10" w:color="8A6A1F"/>
        </w:pBdr>
        <w:spacing w:before="120" w:after="160" w:line="320" w:lineRule="auto"/>
        <w:ind w:left="504" w:right="504"/>
        <w:jc w:val="both"/>
      </w:pPr>
      <w:r>
        <w:rPr>
          <w:b/>
          <w:bCs/>
          <w:color w:val="1F5C3A"/>
          <w:sz w:val="36"/>
          <w:szCs w:val="36"/>
        </w:rPr>
        <w:t xml:space="preserve">«اغزوا باسمِ الله، في سبيلِ الله؛ ولا تَغُلُّوا، ولا تَغدِروا، ولا تُمثِّلوا، ولا تقتُلوا وليدًا»</w:t>
      </w:r>
      <w:r>
        <w:rPr>
          <w:rStyle w:val="a5"/>
          <w:sz w:val="36"/>
          <w:szCs w:val="36"/>
        </w:rPr>
        <w:footnoteReference w:id="3"/>
      </w:r>
    </w:p>
    <w:p>
      <w:pPr>
        <w:spacing w:before="260" w:after="120"/>
      </w:pPr>
      <w:r>
        <w:rPr>
          <w:b/>
          <w:bCs/>
          <w:color w:val="1F5C3A"/>
          <w:sz w:val="36"/>
          <w:szCs w:val="36"/>
        </w:rPr>
        <w:t xml:space="preserve">أولًا: </w:t>
      </w:r>
      <w:r>
        <w:rPr>
          <w:b/>
          <w:bCs/>
          <w:color w:val="1F5C3A"/>
          <w:sz w:val="36"/>
          <w:szCs w:val="36"/>
        </w:rPr>
        <w:t xml:space="preserve">«إحدى الحُسنَيَين»</w:t>
      </w:r>
    </w:p>
    <w:p>
      <w:pPr>
        <w:spacing w:after="140" w:line="340" w:lineRule="auto"/>
        <w:jc w:val="both"/>
      </w:pPr>
      <w:r>
        <w:rPr>
          <w:color w:val="1A1A1A"/>
          <w:sz w:val="36"/>
          <w:szCs w:val="36"/>
        </w:rPr>
        <w:t xml:space="preserve">**ساروا يقطَعون القِفارَ لا للدنيا، وإنما لتحقيقِ رسالةِ التوحيد؛ حتى بلَغوا مَعان.** فبلَغَتْهمُ الأخبارُ أنّ هِرَقلَ قد جمَعَ لهم جموعًا لا قِبَلَ لهم بها.</w:t>
      </w:r>
    </w:p>
    <w:p>
      <w:pPr>
        <w:spacing w:after="140" w:line="340" w:lineRule="auto"/>
        <w:jc w:val="both"/>
      </w:pPr>
      <w:r>
        <w:rPr>
          <w:color w:val="1A1A1A"/>
          <w:sz w:val="36"/>
          <w:szCs w:val="36"/>
        </w:rPr>
        <w:t xml:space="preserve">**فأقاموا ليلتَينِ يتشاوَرون**: أنرجِعُ أدراجَنا، أم نكتُبُ إلى رسولِ اللهِ ﷺ نستمِدُّه؟ **فقامَ ابنُ رَواحةَ ﵁ ـ الشاعرُ الصادقُ المُرهَف ـ فقال:**</w:t>
      </w:r>
    </w:p>
    <w:p>
      <w:pPr>
        <w:pBdr>
          <w:right w:val="single" w:sz="12" w:space="10" w:color="8A6A1F"/>
        </w:pBdr>
        <w:spacing w:before="120" w:after="160" w:line="320" w:lineRule="auto"/>
        <w:ind w:left="504" w:right="504"/>
        <w:jc w:val="both"/>
      </w:pPr>
      <w:r>
        <w:rPr>
          <w:b/>
          <w:bCs/>
          <w:color w:val="1F5C3A"/>
          <w:sz w:val="36"/>
          <w:szCs w:val="36"/>
        </w:rPr>
        <w:t xml:space="preserve">«يا قوم، واللهِ إنّ التي تكرَهون لَلَّتي خرجتُم تطلُبون: الشهادة. وما نُقاتِلُ الناسَ بعَدَدٍ ولا قُوَّةٍ ولا كثرة؛ ما نُقاتِلُهم إلا بهذا الدينِ الذي أكرَمَنا اللهُ به. فانطلِقوا؛ فإنما هي إحدى الحُسنَيَين: إمّا ظُهور، وإمّا شهادة»</w:t>
      </w:r>
    </w:p>
    <w:p>
      <w:pPr>
        <w:spacing w:after="140" w:line="340" w:lineRule="auto"/>
        <w:jc w:val="both"/>
      </w:pPr>
      <w:r>
        <w:rPr>
          <w:color w:val="1A1A1A"/>
          <w:sz w:val="36"/>
          <w:szCs w:val="36"/>
        </w:rPr>
        <w:t xml:space="preserve">فقالوا: **قد واللهِ صدَقَ ابنُ رَواحة!**</w:t>
      </w:r>
      <w:r>
        <w:rPr>
          <w:rStyle w:val="a5"/>
          <w:sz w:val="36"/>
          <w:szCs w:val="36"/>
        </w:rPr>
        <w:footnoteReference w:id="4"/>
      </w:r>
    </w:p>
    <w:p>
      <w:pPr>
        <w:spacing w:after="140" w:line="340" w:lineRule="auto"/>
        <w:jc w:val="both"/>
      </w:pPr>
      <w:r>
        <w:rPr>
          <w:color w:val="1A1A1A"/>
          <w:sz w:val="36"/>
          <w:szCs w:val="36"/>
        </w:rPr>
        <w:t xml:space="preserve">**كلماتٌ ثبَّتَتْ قلوبَ الآلافِ الثلاثةِ فمضَوا إلى ساحاتِ الخلود.**</w:t>
      </w:r>
    </w:p>
    <w:p>
      <w:pPr>
        <w:spacing w:before="260" w:after="120"/>
      </w:pPr>
      <w:r>
        <w:rPr>
          <w:b/>
          <w:bCs/>
          <w:color w:val="1F5C3A"/>
          <w:sz w:val="36"/>
          <w:szCs w:val="36"/>
        </w:rPr>
        <w:t xml:space="preserve">ثانيًا: الرايةُ لا تسقُط</w:t>
      </w:r>
    </w:p>
    <w:p>
      <w:pPr>
        <w:spacing w:after="140" w:line="340" w:lineRule="auto"/>
        <w:jc w:val="both"/>
      </w:pPr>
      <w:r>
        <w:rPr>
          <w:color w:val="1A1A1A"/>
          <w:sz w:val="36"/>
          <w:szCs w:val="36"/>
        </w:rPr>
        <w:t xml:space="preserve">**قُتِلَ زيدُ بنُ حارثةَ ﵁**، فأخذَ الرايةَ **جعفرُ بنُ أبي طالبٍ ﵁** ـ ابنُ عمِّ النبيِّ ﷺ ـ **فرِحًا بأنّ الجنَّةَ أمامَه**، يرتجِز:</w:t>
      </w:r>
    </w:p>
    <w:p>
      <w:pPr>
        <w:pBdr>
          <w:right w:val="single" w:sz="12" w:space="10" w:color="8A6A1F"/>
        </w:pBdr>
        <w:spacing w:before="120" w:after="160" w:line="320" w:lineRule="auto"/>
        <w:ind w:left="504" w:right="504"/>
        <w:jc w:val="both"/>
      </w:pPr>
      <w:r>
        <w:rPr>
          <w:b/>
          <w:bCs/>
          <w:color w:val="1F5C3A"/>
          <w:sz w:val="36"/>
          <w:szCs w:val="36"/>
        </w:rPr>
        <w:t xml:space="preserve">يا حَبَّذا الجنَّةُ واقترابُها ... طيِّبةً وباردًا شرابُها</w:t>
      </w:r>
    </w:p>
    <w:p>
      <w:pPr>
        <w:pBdr>
          <w:right w:val="single" w:sz="12" w:space="10" w:color="8A6A1F"/>
        </w:pBdr>
        <w:spacing w:before="120" w:after="160" w:line="320" w:lineRule="auto"/>
        <w:ind w:left="504" w:right="504"/>
        <w:jc w:val="both"/>
      </w:pPr>
      <w:r>
        <w:rPr>
          <w:b/>
          <w:bCs/>
          <w:color w:val="1F5C3A"/>
          <w:sz w:val="36"/>
          <w:szCs w:val="36"/>
        </w:rPr>
        <w:t xml:space="preserve">والرومُ رومٌ قد دنا عذابُها ... كافرةٌ بعيدةٌ أنسابُها</w:t>
      </w:r>
    </w:p>
    <w:p>
      <w:pPr>
        <w:pBdr>
          <w:right w:val="single" w:sz="12" w:space="10" w:color="8A6A1F"/>
        </w:pBdr>
        <w:spacing w:before="120" w:after="160" w:line="320" w:lineRule="auto"/>
        <w:ind w:left="504" w:right="504"/>
        <w:jc w:val="both"/>
      </w:pPr>
      <w:r>
        <w:rPr>
          <w:b/>
          <w:bCs/>
          <w:color w:val="1F5C3A"/>
          <w:sz w:val="36"/>
          <w:szCs w:val="36"/>
        </w:rPr>
        <w:t xml:space="preserve">عليَّ إن لاقَيتُها ضِرابُها</w:t>
      </w:r>
      <w:r>
        <w:rPr>
          <w:rStyle w:val="a5"/>
          <w:sz w:val="36"/>
          <w:szCs w:val="36"/>
        </w:rPr>
        <w:footnoteReference w:id="5"/>
      </w:r>
    </w:p>
    <w:p>
      <w:pPr>
        <w:spacing w:after="140" w:line="340" w:lineRule="auto"/>
        <w:jc w:val="both"/>
      </w:pPr>
      <w:r>
        <w:rPr>
          <w:color w:val="1A1A1A"/>
          <w:sz w:val="36"/>
          <w:szCs w:val="36"/>
        </w:rPr>
        <w:t xml:space="preserve">**يقولُ ابنُ عمرَ ﵄ ـ كما في </w:t>
      </w:r>
      <w:r>
        <w:rPr>
          <w:b/>
          <w:bCs/>
          <w:color w:val="1F5C3A"/>
          <w:sz w:val="36"/>
          <w:szCs w:val="36"/>
        </w:rPr>
        <w:t xml:space="preserve">«صحيح البخاري»</w:t>
      </w:r>
      <w:r>
        <w:rPr>
          <w:color w:val="1A1A1A"/>
          <w:sz w:val="36"/>
          <w:szCs w:val="36"/>
        </w:rPr>
        <w:t xml:space="preserve">:**</w:t>
      </w:r>
    </w:p>
    <w:p>
      <w:pPr>
        <w:pBdr>
          <w:right w:val="single" w:sz="12" w:space="10" w:color="8A6A1F"/>
        </w:pBdr>
        <w:spacing w:before="120" w:after="160" w:line="320" w:lineRule="auto"/>
        <w:ind w:left="504" w:right="504"/>
        <w:jc w:val="both"/>
      </w:pPr>
      <w:r>
        <w:rPr>
          <w:b/>
          <w:bCs/>
          <w:color w:val="1F5C3A"/>
          <w:sz w:val="36"/>
          <w:szCs w:val="36"/>
        </w:rPr>
        <w:t xml:space="preserve">«كنتُ فيهم في تلك الغَزوة، فالتمَسْنا جعفرَ بنَ أبي طالبٍ فوجَدْناه في القتلى، ووجَدْنا ما في جسدِه بِضعًا وتسعينَ من طَعنةٍ ورَمْية ـ ليس فيها شيءٌ في دُبُرِه»</w:t>
      </w:r>
      <w:r>
        <w:rPr>
          <w:rStyle w:val="a5"/>
          <w:sz w:val="36"/>
          <w:szCs w:val="36"/>
        </w:rPr>
        <w:footnoteReference w:id="6"/>
      </w:r>
    </w:p>
    <w:p>
      <w:pPr>
        <w:spacing w:after="140" w:line="340" w:lineRule="auto"/>
        <w:jc w:val="both"/>
      </w:pPr>
      <w:r>
        <w:rPr>
          <w:color w:val="1A1A1A"/>
          <w:sz w:val="36"/>
          <w:szCs w:val="36"/>
        </w:rPr>
        <w:t xml:space="preserve">**ما فرَّ ولا أدبَر ﵁!**</w:t>
      </w:r>
    </w:p>
    <w:p>
      <w:pPr>
        <w:spacing w:after="140" w:line="340" w:lineRule="auto"/>
        <w:jc w:val="both"/>
      </w:pPr>
      <w:r>
        <w:rPr>
          <w:color w:val="1A1A1A"/>
          <w:sz w:val="36"/>
          <w:szCs w:val="36"/>
        </w:rPr>
        <w:t xml:space="preserve">**ثم آلَتِ الرايةُ إلى ابنِ رَواحة**؛ فعاتبَ نفسَه بأبياتِه المشهورة:</w:t>
      </w:r>
    </w:p>
    <w:p>
      <w:pPr>
        <w:pBdr>
          <w:right w:val="single" w:sz="12" w:space="10" w:color="8A6A1F"/>
        </w:pBdr>
        <w:spacing w:before="120" w:after="160" w:line="320" w:lineRule="auto"/>
        <w:ind w:left="504" w:right="504"/>
        <w:jc w:val="both"/>
      </w:pPr>
      <w:r>
        <w:rPr>
          <w:b/>
          <w:bCs/>
          <w:color w:val="1F5C3A"/>
          <w:sz w:val="36"/>
          <w:szCs w:val="36"/>
        </w:rPr>
        <w:t xml:space="preserve">أَقسَمتُ يا نفسُ لَتَنزِلِنَّهْ ... ما لي أراكِ تكرَهينَ الجنَّهْ</w:t>
      </w:r>
    </w:p>
    <w:p>
      <w:pPr>
        <w:pBdr>
          <w:right w:val="single" w:sz="12" w:space="10" w:color="8A6A1F"/>
        </w:pBdr>
        <w:spacing w:before="120" w:after="160" w:line="320" w:lineRule="auto"/>
        <w:ind w:left="504" w:right="504"/>
        <w:jc w:val="both"/>
      </w:pPr>
      <w:r>
        <w:rPr>
          <w:b/>
          <w:bCs/>
          <w:color w:val="1F5C3A"/>
          <w:sz w:val="36"/>
          <w:szCs w:val="36"/>
        </w:rPr>
        <w:t xml:space="preserve">يا نفسُ إن لم تُقتَلي تموتي ... هذا حِمامُ الموتِ قد صَلِيتِ</w:t>
      </w:r>
    </w:p>
    <w:p>
      <w:pPr>
        <w:pBdr>
          <w:right w:val="single" w:sz="12" w:space="10" w:color="8A6A1F"/>
        </w:pBdr>
        <w:spacing w:before="120" w:after="160" w:line="320" w:lineRule="auto"/>
        <w:ind w:left="504" w:right="504"/>
        <w:jc w:val="both"/>
      </w:pPr>
      <w:r>
        <w:rPr>
          <w:b/>
          <w:bCs/>
          <w:color w:val="1F5C3A"/>
          <w:sz w:val="36"/>
          <w:szCs w:val="36"/>
        </w:rPr>
        <w:t xml:space="preserve">وما تمنَّيتِ فقد أُعطيتِ ... إن تَفعَلي فِعلَهما هُديتِ</w:t>
      </w:r>
      <w:r>
        <w:rPr>
          <w:rStyle w:val="a5"/>
          <w:sz w:val="36"/>
          <w:szCs w:val="36"/>
        </w:rPr>
        <w:footnoteReference w:id="7"/>
      </w:r>
    </w:p>
    <w:p>
      <w:pPr>
        <w:spacing w:after="140" w:line="340" w:lineRule="auto"/>
        <w:jc w:val="both"/>
      </w:pPr>
      <w:r>
        <w:rPr>
          <w:color w:val="1A1A1A"/>
          <w:sz w:val="36"/>
          <w:szCs w:val="36"/>
        </w:rPr>
        <w:t xml:space="preserve">**فتقدَّمَ فاستُشهِد ﵁؛ فالتقَطَ الرايةَ ثابتُ بنُ أَرقَمَ ﵁ فدفعَها إلى خالد.**</w:t>
      </w:r>
    </w:p>
    <w:p>
      <w:pPr>
        <w:spacing w:before="260" w:after="120"/>
      </w:pPr>
      <w:r>
        <w:rPr>
          <w:b/>
          <w:bCs/>
          <w:color w:val="1F5C3A"/>
          <w:sz w:val="36"/>
          <w:szCs w:val="36"/>
        </w:rPr>
        <w:t xml:space="preserve">ثالثًا: نَعْيٌ ودموع</w:t>
      </w:r>
    </w:p>
    <w:p>
      <w:pPr>
        <w:spacing w:after="140" w:line="340" w:lineRule="auto"/>
        <w:jc w:val="both"/>
      </w:pPr>
      <w:r>
        <w:rPr>
          <w:color w:val="1A1A1A"/>
          <w:sz w:val="36"/>
          <w:szCs w:val="36"/>
        </w:rPr>
        <w:t xml:space="preserve">**وفي المدينةِ** ـ كما في </w:t>
      </w:r>
      <w:r>
        <w:rPr>
          <w:b/>
          <w:bCs/>
          <w:color w:val="1F5C3A"/>
          <w:sz w:val="36"/>
          <w:szCs w:val="36"/>
        </w:rPr>
        <w:t xml:space="preserve">«صحيح البخاري»</w:t>
      </w:r>
      <w:r>
        <w:rPr>
          <w:color w:val="1A1A1A"/>
          <w:sz w:val="36"/>
          <w:szCs w:val="36"/>
        </w:rPr>
        <w:t xml:space="preserve"> ـ صعِدَ ﷺ المنبرَ فقال:</w:t>
      </w:r>
    </w:p>
    <w:p>
      <w:pPr>
        <w:pBdr>
          <w:right w:val="single" w:sz="12" w:space="10" w:color="8A6A1F"/>
        </w:pBdr>
        <w:spacing w:before="120" w:after="160" w:line="320" w:lineRule="auto"/>
        <w:ind w:left="504" w:right="504"/>
        <w:jc w:val="both"/>
      </w:pPr>
      <w:r>
        <w:rPr>
          <w:b/>
          <w:bCs/>
          <w:color w:val="1F5C3A"/>
          <w:sz w:val="36"/>
          <w:szCs w:val="36"/>
        </w:rPr>
        <w:t xml:space="preserve">«أخذَ الرايةَ زيدٌ فأُصيب، ثم أخذَ جعفرٌ فأُصيب، ثم أخذَ عبدُ اللهِ بنُ رَواحةَ فأُصيب»</w:t>
      </w:r>
      <w:r>
        <w:rPr>
          <w:b/>
          <w:bCs/>
          <w:color w:val="1F5C3A"/>
          <w:sz w:val="36"/>
          <w:szCs w:val="36"/>
        </w:rPr>
        <w:t xml:space="preserve"> ـ **وعيناه تَذرِفان** ـ </w:t>
      </w:r>
      <w:r>
        <w:rPr>
          <w:b/>
          <w:bCs/>
          <w:color w:val="1F5C3A"/>
          <w:sz w:val="36"/>
          <w:szCs w:val="36"/>
        </w:rPr>
        <w:t xml:space="preserve">«ثم أخذَ الرايةَ سيفٌ من سيوفِ اللهِ حتى فتحَ اللهُ عليهم»</w:t>
      </w:r>
      <w:r>
        <w:rPr>
          <w:rStyle w:val="a5"/>
          <w:sz w:val="36"/>
          <w:szCs w:val="36"/>
        </w:rPr>
        <w:footnoteReference w:id="8"/>
      </w:r>
    </w:p>
    <w:p>
      <w:pPr>
        <w:spacing w:after="140" w:line="340" w:lineRule="auto"/>
        <w:jc w:val="both"/>
      </w:pPr>
      <w:r>
        <w:rPr>
          <w:color w:val="1A1A1A"/>
          <w:sz w:val="36"/>
          <w:szCs w:val="36"/>
        </w:rPr>
        <w:t xml:space="preserve">**فعبَّأَ خالدٌ ﵁ الجيشَ في اليومِ الثاني؛ جعَلَ المُقدِّمةَ مُؤخِّرةً والمَيمَنةَ مَيسَرة؛ فأنكرَ العدُوُّ الوجوهَ وظنُّوا أنّ مدَدًا قد جاءهم، فألقى اللهُ في قلوبِهمُ الرعب** ـ **حتى انحازَ خالدٌ بالجيشِ فسلَّمَه الله**، وقد **انقطعَتْ في يدِه تسعةُ أسياف**.</w:t>
      </w:r>
      <w:r>
        <w:rPr>
          <w:rStyle w:val="a5"/>
          <w:sz w:val="36"/>
          <w:szCs w:val="36"/>
        </w:rPr>
        <w:footnoteReference w:id="9"/>
      </w:r>
    </w:p>
    <w:p>
      <w:pPr>
        <w:spacing w:after="140" w:line="340" w:lineRule="auto"/>
        <w:jc w:val="both"/>
      </w:pPr>
      <w:r>
        <w:rPr>
          <w:color w:val="1A1A1A"/>
          <w:sz w:val="36"/>
          <w:szCs w:val="36"/>
        </w:rPr>
        <w:t xml:space="preserve">**ثم عادَ ﷺ من منبرِه فعمَدَ إلى بيتِ ابنِ عمِّه**؛ تقولُ **أسماءُ بنتُ عُمَيسٍ ﵂** زوجُ جعفر: دخلَ عليَّ رسولُ اللهِ ﷺ وقد دبَغتُ أربعينَ مَنيئة، ولتُّ عجيني، وغسَلتُ بَنيَّ ودهَنتُهم؛ فقال: **</w:t>
      </w:r>
      <w:r>
        <w:rPr>
          <w:b/>
          <w:bCs/>
          <w:color w:val="1F5C3A"/>
          <w:sz w:val="36"/>
          <w:szCs w:val="36"/>
        </w:rPr>
        <w:t xml:space="preserve">«ائتيني ببَني جعفر»</w:t>
      </w:r>
      <w:r>
        <w:rPr>
          <w:color w:val="1A1A1A"/>
          <w:sz w:val="36"/>
          <w:szCs w:val="36"/>
        </w:rPr>
        <w:t xml:space="preserve">** ـ فأتيتُه بهم فشَمَّهم وذرَفَتْ عيناه. فقلتُ: يا رسولَ الله، أَبلَغَك عن جعفرٍ شيء؟ قال:</w:t>
      </w:r>
    </w:p>
    <w:p>
      <w:pPr>
        <w:pBdr>
          <w:right w:val="single" w:sz="12" w:space="10" w:color="8A6A1F"/>
        </w:pBdr>
        <w:spacing w:before="120" w:after="160" w:line="320" w:lineRule="auto"/>
        <w:ind w:left="504" w:right="504"/>
        <w:jc w:val="both"/>
      </w:pPr>
      <w:r>
        <w:rPr>
          <w:b/>
          <w:bCs/>
          <w:color w:val="1F5C3A"/>
          <w:sz w:val="36"/>
          <w:szCs w:val="36"/>
        </w:rPr>
        <w:t xml:space="preserve">«نعم، قُتِلَ اليوم»</w:t>
      </w:r>
    </w:p>
    <w:p>
      <w:pPr>
        <w:spacing w:after="140" w:line="340" w:lineRule="auto"/>
        <w:jc w:val="both"/>
      </w:pPr>
      <w:r>
        <w:rPr>
          <w:color w:val="1A1A1A"/>
          <w:sz w:val="36"/>
          <w:szCs w:val="36"/>
        </w:rPr>
        <w:t xml:space="preserve">**ثم قامَ ﷺ وقال:**</w:t>
      </w:r>
    </w:p>
    <w:p>
      <w:pPr>
        <w:pBdr>
          <w:right w:val="single" w:sz="12" w:space="10" w:color="8A6A1F"/>
        </w:pBdr>
        <w:spacing w:before="120" w:after="160" w:line="320" w:lineRule="auto"/>
        <w:ind w:left="504" w:right="504"/>
        <w:jc w:val="both"/>
      </w:pPr>
      <w:r>
        <w:rPr>
          <w:b/>
          <w:bCs/>
          <w:color w:val="1F5C3A"/>
          <w:sz w:val="36"/>
          <w:szCs w:val="36"/>
        </w:rPr>
        <w:t xml:space="preserve">«اصنَعوا لآلِ جعفرٍ طعامًا؛ فقد أتاهم ما يَشغَلُهم»</w:t>
      </w:r>
      <w:r>
        <w:rPr>
          <w:rStyle w:val="a5"/>
          <w:sz w:val="36"/>
          <w:szCs w:val="36"/>
        </w:rPr>
        <w:footnoteReference w:id="10"/>
      </w:r>
    </w:p>
    <w:p>
      <w:pPr>
        <w:spacing w:before="200" w:after="200"/>
        <w:jc w:val="both"/>
      </w:pPr>
      <w:r>
        <w:rPr>
          <w:color w:val="8A6A1F"/>
          <w:sz w:val="36"/>
          <w:szCs w:val="36"/>
        </w:rPr>
        <w:t xml:space="preserve">❊  ❊  ❊</w:t>
      </w:r>
    </w:p>
    <w:p>
      <w:pPr>
        <w:spacing w:after="140" w:line="340" w:lineRule="auto"/>
        <w:jc w:val="both"/>
      </w:pPr>
      <w:r>
        <w:rPr>
          <w:color w:val="1A1A1A"/>
          <w:sz w:val="36"/>
          <w:szCs w:val="36"/>
        </w:rPr>
        <w:t xml:space="preserve">باركَ اللهُ لي ولكم في القرآنِ العظيم، ونفعني وإياكم بما فيه من الآياتِ والذكرِ الحكيم. أقولُ ما سمعتم، وأستغفرُ اللهَ العليَّ العظيمَ لي ولكم من كلِّ ذنبٍ وخطيئة، فاستغفروه إنه هو الغفورُ الرحيم.</w:t>
      </w:r>
    </w:p>
    <w:p>
      <w:pPr>
        <w:pBdr>
          <w:bottom w:val="single" w:sz="8" w:space="6" w:color="1F5C3A"/>
        </w:pBdr>
        <w:spacing w:before="320" w:after="200"/>
      </w:pPr>
      <w:r>
        <w:rPr>
          <w:b/>
          <w:bCs/>
          <w:color w:val="1F5C3A"/>
          <w:sz w:val="36"/>
          <w:szCs w:val="36"/>
        </w:rPr>
        <w:t xml:space="preserve">الخُطبةُ الثانية</w:t>
      </w:r>
    </w:p>
    <w:p>
      <w:pPr>
        <w:spacing w:after="140" w:line="340" w:lineRule="auto"/>
        <w:jc w:val="both"/>
      </w:pPr>
      <w:r>
        <w:rPr>
          <w:color w:val="1A1A1A"/>
          <w:sz w:val="36"/>
          <w:szCs w:val="36"/>
        </w:rPr>
        <w:t xml:space="preserve">الحمدُ للهِ وكفى، والصلاةُ والسلامُ على النبيِّ المصطفى، وعلى آلِه وصحبِه، ومن سار على دربِه وسُنَّتَه اقتفى. أمّا بعدُ، يا أهلَ الشام: **هذه مُؤتة؛ فماذا علَّمَتْني؟**</w:t>
      </w:r>
    </w:p>
    <w:p>
      <w:pPr>
        <w:spacing w:before="260" w:after="120"/>
      </w:pPr>
      <w:r>
        <w:rPr>
          <w:b/>
          <w:bCs/>
          <w:color w:val="1F5C3A"/>
          <w:sz w:val="36"/>
          <w:szCs w:val="36"/>
        </w:rPr>
        <w:t xml:space="preserve">أولًا: علَّمَتْني أننا لا نُقاتِلُ بعَدَد</w:t>
      </w:r>
    </w:p>
    <w:p>
      <w:pPr>
        <w:spacing w:after="140" w:line="340" w:lineRule="auto"/>
        <w:jc w:val="both"/>
      </w:pPr>
      <w:r>
        <w:rPr>
          <w:color w:val="1A1A1A"/>
          <w:sz w:val="36"/>
          <w:szCs w:val="36"/>
        </w:rPr>
        <w:t xml:space="preserve">**بل بديننا وإيمانِنا وتوحيدِنا واتِّباعِنا لسنَّةِ نبيِّنا ﷺ**؛ </w:t>
      </w:r>
      <w:r>
        <w:rPr>
          <w:b/>
          <w:bCs/>
          <w:color w:val="8A6A1F"/>
          <w:sz w:val="36"/>
          <w:szCs w:val="36"/>
        </w:rPr>
        <w:t xml:space="preserve">﴿كَم مِّن فِئَةٍ قَلِيلَةٍ غَلَبَتْ فِئَةً كَثِيرَةً بِإِذْنِ اللَّهِ﴾</w:t>
      </w:r>
      <w:r>
        <w:rPr>
          <w:color w:val="1A1A1A"/>
          <w:sz w:val="36"/>
          <w:szCs w:val="36"/>
        </w:rPr>
        <w:t xml:space="preserve">.</w:t>
      </w:r>
    </w:p>
    <w:p>
      <w:pPr>
        <w:spacing w:before="260" w:after="120"/>
      </w:pPr>
      <w:r>
        <w:rPr>
          <w:b/>
          <w:bCs/>
          <w:color w:val="1F5C3A"/>
          <w:sz w:val="36"/>
          <w:szCs w:val="36"/>
        </w:rPr>
        <w:t xml:space="preserve">ثانيًا: علَّمَتْني أنه لا مكانَ للتخاذُل</w:t>
      </w:r>
    </w:p>
    <w:p>
      <w:pPr>
        <w:spacing w:after="140" w:line="340" w:lineRule="auto"/>
        <w:jc w:val="both"/>
      </w:pPr>
      <w:r>
        <w:rPr>
          <w:color w:val="1A1A1A"/>
          <w:sz w:val="36"/>
          <w:szCs w:val="36"/>
        </w:rPr>
        <w:t xml:space="preserve">**ولا للضَّعفِ ولا للخَورِ ولا للجُبنِ ولا للعَجز** ـ مهما بلَغَ ضَعفُنا وقلَّتْ حِيلتُنا وقلَّ المُعينُ والنصير. **وأنّ وعدَ اللهِ قريب؛ وأننا إن سِرنا على الطريقِ الذي سارَ عليه الصحابةُ فإننا مَنصورون بإذنِ الله.**</w:t>
      </w:r>
    </w:p>
    <w:p>
      <w:pPr>
        <w:spacing w:before="260" w:after="120"/>
      </w:pPr>
      <w:r>
        <w:rPr>
          <w:b/>
          <w:bCs/>
          <w:color w:val="1F5C3A"/>
          <w:sz w:val="36"/>
          <w:szCs w:val="36"/>
        </w:rPr>
        <w:t xml:space="preserve">ثالثًا: علَّمَتْني حقيقةَ عدُوِّنا</w:t>
      </w:r>
    </w:p>
    <w:p>
      <w:pPr>
        <w:spacing w:after="140" w:line="340" w:lineRule="auto"/>
        <w:jc w:val="both"/>
      </w:pPr>
      <w:r>
        <w:rPr>
          <w:color w:val="1A1A1A"/>
          <w:sz w:val="36"/>
          <w:szCs w:val="36"/>
        </w:rPr>
        <w:t xml:space="preserve">**علَّمَتْني أنّ عُبّادَ الصليبِ أعداءٌ لنا يُقاتِلوننا، وأنهم يَنسِبون إلى اللهِ الولَد، وأنهم لو تمكَّنوا لاستأصَلوا شَأفَتَنا من على وجهِ الأرض.** وعلَّمَتْني قولَ الله:</w:t>
      </w:r>
    </w:p>
    <w:p>
      <w:pPr>
        <w:pBdr>
          <w:right w:val="single" w:sz="12" w:space="10" w:color="8A6A1F"/>
        </w:pBdr>
        <w:spacing w:before="120" w:after="160" w:line="320" w:lineRule="auto"/>
        <w:ind w:left="504" w:right="504"/>
        <w:jc w:val="both"/>
      </w:pPr>
      <w:r>
        <w:rPr>
          <w:b/>
          <w:bCs/>
          <w:color w:val="8A6A1F"/>
          <w:sz w:val="36"/>
          <w:szCs w:val="36"/>
        </w:rPr>
        <w:t xml:space="preserve">﴿وَلَن تَرْضَىٰ عَنكَ الْيَهُودُ وَلَا النَّصَارَىٰ حَتَّىٰ تَتَّبِعَ مِلَّتَهُمْ﴾</w:t>
      </w:r>
    </w:p>
    <w:p>
      <w:pPr>
        <w:spacing w:before="260" w:after="120"/>
      </w:pPr>
      <w:r>
        <w:rPr>
          <w:b/>
          <w:bCs/>
          <w:color w:val="1F5C3A"/>
          <w:sz w:val="36"/>
          <w:szCs w:val="36"/>
        </w:rPr>
        <w:t xml:space="preserve">رابعًا: علَّمَتْني أنّ الخيانةَ من بني جِلدتِنا قديمة</w:t>
      </w:r>
    </w:p>
    <w:p>
      <w:pPr>
        <w:spacing w:after="140" w:line="340" w:lineRule="auto"/>
        <w:jc w:val="both"/>
      </w:pPr>
      <w:r>
        <w:rPr>
          <w:color w:val="1A1A1A"/>
          <w:sz w:val="36"/>
          <w:szCs w:val="36"/>
        </w:rPr>
        <w:t xml:space="preserve">**فإنّ سببَ مُؤتةَ نفسِها الغَدر:** أرسلَ ﷺ **الحارثَ بنَ عُمَيرٍ الأزديَّ ﵁** برسالةِ التوحيدِ إلى عظيمِ بُصرى، **فتلقَّفَه شُرَحبيلُ بنُ عمرٍو الغَسّانيُّ ـ عاملُ الرومِ من بني جِلدتِنا ـ فقتَلَه**؛ فكانت الغزوةُ من أجلِ هذا الصحابيِّ الجليل.</w:t>
      </w:r>
      <w:r>
        <w:rPr>
          <w:rStyle w:val="a5"/>
          <w:sz w:val="36"/>
          <w:szCs w:val="36"/>
        </w:rPr>
        <w:footnoteReference w:id="11"/>
      </w:r>
    </w:p>
    <w:p>
      <w:pPr>
        <w:spacing w:after="140" w:line="340" w:lineRule="auto"/>
        <w:jc w:val="both"/>
      </w:pPr>
      <w:r>
        <w:rPr>
          <w:color w:val="1A1A1A"/>
          <w:sz w:val="36"/>
          <w:szCs w:val="36"/>
        </w:rPr>
        <w:t xml:space="preserve">**فالمؤامراتُ والعَمالةُ قديمة، وما أشبَهَ اليومَ بالبارحة.**</w:t>
      </w:r>
    </w:p>
    <w:p>
      <w:pPr>
        <w:spacing w:before="260" w:after="120"/>
      </w:pPr>
      <w:r>
        <w:rPr>
          <w:b/>
          <w:bCs/>
          <w:color w:val="1F5C3A"/>
          <w:sz w:val="36"/>
          <w:szCs w:val="36"/>
        </w:rPr>
        <w:t xml:space="preserve">خامسًا: علَّمَتْني أنّ هذه الأمَّةَ لا تموت</w:t>
      </w:r>
    </w:p>
    <w:p>
      <w:pPr>
        <w:spacing w:after="140" w:line="340" w:lineRule="auto"/>
        <w:jc w:val="both"/>
      </w:pPr>
      <w:r>
        <w:rPr>
          <w:color w:val="1A1A1A"/>
          <w:sz w:val="36"/>
          <w:szCs w:val="36"/>
        </w:rPr>
        <w:t xml:space="preserve">**وشرطُ عدَمِ موتِها أن يُوجَدَ فيها رجالٌ يُصدِّقون وعدَ اللهِ ويشترونَ ما عندَه:**</w:t>
      </w:r>
    </w:p>
    <w:p>
      <w:pPr>
        <w:pBdr>
          <w:right w:val="single" w:sz="12" w:space="10" w:color="8A6A1F"/>
        </w:pBdr>
        <w:spacing w:before="120" w:after="160" w:line="320" w:lineRule="auto"/>
        <w:ind w:left="504" w:right="504"/>
        <w:jc w:val="both"/>
      </w:pPr>
      <w:r>
        <w:rPr>
          <w:b/>
          <w:bCs/>
          <w:color w:val="8A6A1F"/>
          <w:sz w:val="36"/>
          <w:szCs w:val="36"/>
        </w:rPr>
        <w:t xml:space="preserve">﴿مِّنَ الْمُؤْمِنِينَ رِجَالٌ صَدَقُوا مَا عَاهَدُوا اللَّهَ عَلَيْهِ ۖ فَمِنْهُم مَّن قَضَىٰ نَحْبَهُ وَمِنْهُم مَّن يَنتَظِرُ﴾</w:t>
      </w:r>
    </w:p>
    <w:p>
      <w:pPr>
        <w:spacing w:after="140" w:line="340" w:lineRule="auto"/>
        <w:jc w:val="both"/>
      </w:pPr>
      <w:r>
        <w:rPr>
          <w:color w:val="1A1A1A"/>
          <w:sz w:val="36"/>
          <w:szCs w:val="36"/>
        </w:rPr>
        <w:t xml:space="preserve">**فإن وُجِدَ فيها أمثالُ زيدٍ وجعفرٍ وعبدِ اللهِ وخالد ـ فلها التمكينُ بإذنِ الله.**</w:t>
      </w:r>
    </w:p>
    <w:p>
      <w:pPr>
        <w:spacing w:before="260" w:after="120"/>
      </w:pPr>
      <w:r>
        <w:rPr>
          <w:b/>
          <w:bCs/>
          <w:color w:val="1F5C3A"/>
          <w:sz w:val="36"/>
          <w:szCs w:val="36"/>
        </w:rPr>
        <w:t xml:space="preserve">سادسًا: علَّمَتْني خطرَ الوَهَن</w:t>
      </w:r>
    </w:p>
    <w:p>
      <w:pPr>
        <w:spacing w:after="140" w:line="340" w:lineRule="auto"/>
        <w:jc w:val="both"/>
      </w:pPr>
      <w:r>
        <w:rPr>
          <w:color w:val="1A1A1A"/>
          <w:sz w:val="36"/>
          <w:szCs w:val="36"/>
        </w:rPr>
        <w:t xml:space="preserve">**وأنّ الأمَّةَ إن خافَتِ الموتَ وتعلَّقَتْ بالدنيا صارَتْ غُثاءً كغُثاءِ السَّيل؛** قال ﷺ:</w:t>
      </w:r>
    </w:p>
    <w:p>
      <w:pPr>
        <w:pBdr>
          <w:right w:val="single" w:sz="12" w:space="10" w:color="8A6A1F"/>
        </w:pBdr>
        <w:spacing w:before="120" w:after="160" w:line="320" w:lineRule="auto"/>
        <w:ind w:left="504" w:right="504"/>
        <w:jc w:val="both"/>
      </w:pPr>
      <w:r>
        <w:rPr>
          <w:b/>
          <w:bCs/>
          <w:color w:val="1F5C3A"/>
          <w:sz w:val="36"/>
          <w:szCs w:val="36"/>
        </w:rPr>
        <w:t xml:space="preserve">«يُوشِكُ أن تَداعى عليكمُ الأممُ كما تَداعى الأَكَلةُ إلى قَصعَتِها»</w:t>
      </w:r>
      <w:r>
        <w:rPr>
          <w:b/>
          <w:bCs/>
          <w:color w:val="1F5C3A"/>
          <w:sz w:val="36"/>
          <w:szCs w:val="36"/>
        </w:rPr>
        <w:t xml:space="preserve">. فقال قائل: أَوَمِن قِلَّةٍ نحنُ يومئذ؟ قال: </w:t>
      </w:r>
      <w:r>
        <w:rPr>
          <w:b/>
          <w:bCs/>
          <w:color w:val="1F5C3A"/>
          <w:sz w:val="36"/>
          <w:szCs w:val="36"/>
        </w:rPr>
        <w:t xml:space="preserve">«بل أنتم يومئذٍ كثير، ولكنّكم غُثاءٌ كغُثاءِ السَّيل؛ ولَيَنزِعَنَّ اللهُ من صدورِ عدُوِّكمُ المهابةَ منكم، ولَيَقذِفَنَّ اللهُ في قلوبِكمُ الوَهَن»</w:t>
      </w:r>
      <w:r>
        <w:rPr>
          <w:b/>
          <w:bCs/>
          <w:color w:val="1F5C3A"/>
          <w:sz w:val="36"/>
          <w:szCs w:val="36"/>
        </w:rPr>
        <w:t xml:space="preserve">. قال قائل: وما الوَهَن؟ قال: **</w:t>
      </w:r>
      <w:r>
        <w:rPr>
          <w:b/>
          <w:bCs/>
          <w:color w:val="1F5C3A"/>
          <w:sz w:val="36"/>
          <w:szCs w:val="36"/>
        </w:rPr>
        <w:t xml:space="preserve">«حُبُّ الدنيا وكراهيةُ الموت»</w:t>
      </w:r>
      <w:r>
        <w:rPr>
          <w:b/>
          <w:bCs/>
          <w:color w:val="1F5C3A"/>
          <w:sz w:val="36"/>
          <w:szCs w:val="36"/>
        </w:rPr>
        <w:t xml:space="preserve">**</w:t>
      </w:r>
      <w:r>
        <w:rPr>
          <w:rStyle w:val="a5"/>
          <w:sz w:val="36"/>
          <w:szCs w:val="36"/>
        </w:rPr>
        <w:footnoteReference w:id="12"/>
      </w:r>
    </w:p>
    <w:p>
      <w:pPr>
        <w:spacing w:after="140" w:line="340" w:lineRule="auto"/>
        <w:jc w:val="both"/>
      </w:pPr>
      <w:r>
        <w:rPr>
          <w:color w:val="1A1A1A"/>
          <w:sz w:val="36"/>
          <w:szCs w:val="36"/>
        </w:rPr>
        <w:t xml:space="preserve">**وهي عكسُ الصورةِ التي وُجِدَتْ في قلوبِ الصحابة؛ فهذا يقول: </w:t>
      </w:r>
      <w:r>
        <w:rPr>
          <w:b/>
          <w:bCs/>
          <w:color w:val="1F5C3A"/>
          <w:sz w:val="36"/>
          <w:szCs w:val="36"/>
        </w:rPr>
        <w:t xml:space="preserve">«يا حَبَّذا الجنَّةُ واقترابُها»</w:t>
      </w:r>
      <w:r>
        <w:rPr>
          <w:color w:val="1A1A1A"/>
          <w:sz w:val="36"/>
          <w:szCs w:val="36"/>
        </w:rPr>
        <w:t xml:space="preserve">، وذاك يقول: </w:t>
      </w:r>
      <w:r>
        <w:rPr>
          <w:b/>
          <w:bCs/>
          <w:color w:val="1F5C3A"/>
          <w:sz w:val="36"/>
          <w:szCs w:val="36"/>
        </w:rPr>
        <w:t xml:space="preserve">«لكنّني أسألُ الرحمنَ مغفرة»</w:t>
      </w:r>
      <w:r>
        <w:rPr>
          <w:color w:val="1A1A1A"/>
          <w:sz w:val="36"/>
          <w:szCs w:val="36"/>
        </w:rPr>
        <w:t xml:space="preserve">.**</w:t>
      </w:r>
    </w:p>
    <w:p>
      <w:pPr>
        <w:spacing w:before="260" w:after="120"/>
      </w:pPr>
      <w:r>
        <w:rPr>
          <w:b/>
          <w:bCs/>
          <w:color w:val="1F5C3A"/>
          <w:sz w:val="36"/>
          <w:szCs w:val="36"/>
        </w:rPr>
        <w:t xml:space="preserve">خاتمة</w:t>
      </w:r>
    </w:p>
    <w:p>
      <w:pPr>
        <w:spacing w:after="140" w:line="340" w:lineRule="auto"/>
        <w:jc w:val="both"/>
      </w:pPr>
      <w:r>
        <w:rPr>
          <w:color w:val="1A1A1A"/>
          <w:sz w:val="36"/>
          <w:szCs w:val="36"/>
        </w:rPr>
        <w:t xml:space="preserve">**فمُؤتةُ علَّمَتْني أنّ هذه الأمَّةَ لا تموت.** وصدقَ القائل:</w:t>
      </w:r>
    </w:p>
    <w:p>
      <w:pPr>
        <w:pBdr>
          <w:right w:val="single" w:sz="12" w:space="10" w:color="8A6A1F"/>
        </w:pBdr>
        <w:spacing w:before="120" w:after="160" w:line="320" w:lineRule="auto"/>
        <w:ind w:left="504" w:right="504"/>
        <w:jc w:val="both"/>
      </w:pPr>
      <w:r>
        <w:rPr>
          <w:b/>
          <w:bCs/>
          <w:color w:val="1F5C3A"/>
          <w:sz w:val="36"/>
          <w:szCs w:val="36"/>
        </w:rPr>
        <w:t xml:space="preserve">ما وهَنّا ما وهَنّا ... في طريقِ المجدِ سِرْنا</w:t>
      </w:r>
    </w:p>
    <w:p>
      <w:pPr>
        <w:pBdr>
          <w:right w:val="single" w:sz="12" w:space="10" w:color="8A6A1F"/>
        </w:pBdr>
        <w:spacing w:before="120" w:after="160" w:line="320" w:lineRule="auto"/>
        <w:ind w:left="504" w:right="504"/>
        <w:jc w:val="both"/>
      </w:pPr>
      <w:r>
        <w:rPr>
          <w:b/>
          <w:bCs/>
          <w:color w:val="1F5C3A"/>
          <w:sz w:val="36"/>
          <w:szCs w:val="36"/>
        </w:rPr>
        <w:t xml:space="preserve">عِزُّنا ذاتُ السلاسِلْ ... مجدُنا أسوارُ تُسْتَرْ</w:t>
      </w:r>
    </w:p>
    <w:p>
      <w:pPr>
        <w:spacing w:after="140" w:line="340" w:lineRule="auto"/>
        <w:jc w:val="both"/>
      </w:pPr>
      <w:r>
        <w:rPr>
          <w:color w:val="1A1A1A"/>
          <w:sz w:val="36"/>
          <w:szCs w:val="36"/>
        </w:rPr>
        <w:t xml:space="preserve">أسألُ اللهَ جلَّ في عُلاه أن يجعلَ من هذه الوجوهِ من يسيرُ على طريقِ الصحابة، ومن يُعيدُ للأمَّةِ مجدَها، ومن يبذُلُ رُوحَه في سبيلِ اللهِ على أسوارِ الأقصى وفي سبيلِ إقامةِ التوحيد؛ إنه وليُّ ذلك والقادرُ عليه.</w:t>
      </w:r>
    </w:p>
    <w:p>
      <w:pPr>
        <w:spacing w:after="140" w:line="340" w:lineRule="auto"/>
        <w:jc w:val="both"/>
      </w:pPr>
      <w:r>
        <w:rPr>
          <w:color w:val="1A1A1A"/>
          <w:sz w:val="36"/>
          <w:szCs w:val="36"/>
        </w:rPr>
        <w:t xml:space="preserve">اللهم اغفِرْ للمسلمين والمسلمات، الأحياءِ منهم والأموات؛ إنك سميعٌ قريبٌ مجيبُ الدعوات.</w:t>
      </w:r>
    </w:p>
    <w:sectPr w:rsidR="004A7447" w:rsidRPr="0056790D">
      <w:foot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1D1DF3" w14:textId="77777777" w:rsidR="005A32A4" w:rsidRDefault="005A32A4">
      <w:r>
        <w:separator/>
      </w:r>
    </w:p>
  </w:endnote>
  <w:endnote w:type="continuationSeparator" w:id="0">
    <w:p w14:paraId="3030C898" w14:textId="77777777" w:rsidR="005A32A4" w:rsidRDefault="005A32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aditional Arabic">
    <w:panose1 w:val="02020603050405020304"/>
    <w:charset w:val="00"/>
    <w:family w:val="roman"/>
    <w:pitch w:val="variable"/>
    <w:sig w:usb0="00002003" w:usb1="80000000" w:usb2="00000008" w:usb3="00000000" w:csb0="00000041"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4743D5" w14:textId="77777777" w:rsidR="004A7447" w:rsidRDefault="00F75558">
    <w:pPr>
      <w:jc w:val="center"/>
    </w:pPr>
    <w:r>
      <w:rPr>
        <w:color w:val="888888"/>
        <w:sz w:val="20"/>
        <w:szCs w:val="20"/>
      </w:rPr>
      <w:fldChar w:fldCharType="begin"/>
    </w:r>
    <w:r>
      <w:rPr>
        <w:color w:val="888888"/>
        <w:sz w:val="20"/>
        <w:szCs w:val="20"/>
      </w:rPr>
      <w:instrText>PAGE</w:instrText>
    </w:r>
    <w:r>
      <w:rPr>
        <w:color w:val="888888"/>
        <w:sz w:val="20"/>
        <w:szCs w:val="20"/>
      </w:rPr>
      <w:fldChar w:fldCharType="separate"/>
    </w:r>
    <w:r>
      <w:rPr>
        <w:noProof/>
        <w:color w:val="888888"/>
        <w:sz w:val="20"/>
        <w:szCs w:val="20"/>
      </w:rPr>
      <w:t>1</w:t>
    </w:r>
    <w:r>
      <w:rPr>
        <w:color w:val="888888"/>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77D416" w14:textId="77777777" w:rsidR="005A32A4" w:rsidRDefault="005A32A4">
      <w:r>
        <w:separator/>
      </w:r>
    </w:p>
  </w:footnote>
  <w:footnote w:type="continuationSeparator" w:id="0">
    <w:p w14:paraId="4B68A558" w14:textId="77777777" w:rsidR="005A32A4" w:rsidRDefault="005A32A4">
      <w:r>
        <w:continuationSeparator/>
      </w:r>
    </w:p>
  </w:footnote>
  <w:footnote w:id="1">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من أخبارِ مُؤتة؛ رواها ابنُ إسحاقَ في «السيرة» والبيهقيُّ في «الدلائل»، وذكرَها ابنُ كثيرٍ في «البداية والنهاية».</w:t>
      </w:r>
    </w:p>
  </w:footnote>
  <w:footnote w:id="2">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البخاريُّ من حديث عبد الله بن عمر ﵄.</w:t>
      </w:r>
    </w:p>
  </w:footnote>
  <w:footnote w:id="3">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مسلمٌ من حديث بُرَيدةَ ﵁.</w:t>
      </w:r>
    </w:p>
  </w:footnote>
  <w:footnote w:id="4">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رواها ابنُ إسحاقَ في «السيرة» والبيهقيُّ في «الدلائل».</w:t>
      </w:r>
    </w:p>
  </w:footnote>
  <w:footnote w:id="5">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من أراجيزِ مُؤتة؛ رواها ابنُ إسحاقَ في «السيرة».</w:t>
      </w:r>
    </w:p>
  </w:footnote>
  <w:footnote w:id="6">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البخاريُّ من حديث عبد الله بن عمر ﵄. (وما يُروى من قطعِ يدَيه ثم شَقِّه نصفَين فمَبناه على روايةِ ابنِ إسحاقَ وفي إسنادِها مقال.)</w:t>
      </w:r>
    </w:p>
  </w:footnote>
  <w:footnote w:id="7">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من أراجيزِ مُؤتة؛ رواها ابنُ إسحاقَ في «السيرة».</w:t>
      </w:r>
    </w:p>
  </w:footnote>
  <w:footnote w:id="8">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البخاريُّ من حديث أنس بن مالك ﵁.</w:t>
      </w:r>
    </w:p>
  </w:footnote>
  <w:footnote w:id="9">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البخاريُّ من حديث خالد بن الوليد ﵁.</w:t>
      </w:r>
    </w:p>
  </w:footnote>
  <w:footnote w:id="10">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حديثُ أسماءَ بنتِ عُمَيسٍ ﵂ أخرجه أحمدُ وأبو داود، وحديثُ «اصنَعوا لآلِ جعفرٍ طعامًا» أخرجه أبو داود والترمذيُّ وابنُ ماجه، وحسَّنه الألباني. و«المَنيئة»: الجِلدُ في الدِّباغ.</w:t>
      </w:r>
    </w:p>
  </w:footnote>
  <w:footnote w:id="11">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من أخبارِ سببِ غزوةِ مُؤتة؛ رواها ابنُ إسحاقَ والواقديُّ، وذكرَها ابنُ كثيرٍ في «البداية والنهاية».</w:t>
      </w:r>
    </w:p>
  </w:footnote>
  <w:footnote w:id="12">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أبو داود وأحمدُ من حديث ثَوبانَ ﵁، وصححه الألباني.</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679A9"/>
    <w:multiLevelType w:val="hybridMultilevel"/>
    <w:tmpl w:val="FFFFFFFF"/>
    <w:lvl w:ilvl="0" w:tplc="225EE7A0">
      <w:start w:val="1"/>
      <w:numFmt w:val="bullet"/>
      <w:lvlText w:val="●"/>
      <w:lvlJc w:val="left"/>
      <w:pPr>
        <w:ind w:left="720" w:hanging="360"/>
      </w:pPr>
    </w:lvl>
    <w:lvl w:ilvl="1" w:tplc="99DACD68">
      <w:start w:val="1"/>
      <w:numFmt w:val="bullet"/>
      <w:lvlText w:val="○"/>
      <w:lvlJc w:val="left"/>
      <w:pPr>
        <w:ind w:left="1440" w:hanging="360"/>
      </w:pPr>
    </w:lvl>
    <w:lvl w:ilvl="2" w:tplc="85CC43C4">
      <w:start w:val="1"/>
      <w:numFmt w:val="bullet"/>
      <w:lvlText w:val="■"/>
      <w:lvlJc w:val="left"/>
      <w:pPr>
        <w:ind w:left="2160" w:hanging="360"/>
      </w:pPr>
    </w:lvl>
    <w:lvl w:ilvl="3" w:tplc="4B14BFE0">
      <w:start w:val="1"/>
      <w:numFmt w:val="bullet"/>
      <w:lvlText w:val="●"/>
      <w:lvlJc w:val="left"/>
      <w:pPr>
        <w:ind w:left="2880" w:hanging="360"/>
      </w:pPr>
    </w:lvl>
    <w:lvl w:ilvl="4" w:tplc="9CC82B0E">
      <w:start w:val="1"/>
      <w:numFmt w:val="bullet"/>
      <w:lvlText w:val="○"/>
      <w:lvlJc w:val="left"/>
      <w:pPr>
        <w:ind w:left="3600" w:hanging="360"/>
      </w:pPr>
    </w:lvl>
    <w:lvl w:ilvl="5" w:tplc="45F4F340">
      <w:start w:val="1"/>
      <w:numFmt w:val="bullet"/>
      <w:lvlText w:val="■"/>
      <w:lvlJc w:val="left"/>
      <w:pPr>
        <w:ind w:left="4320" w:hanging="360"/>
      </w:pPr>
    </w:lvl>
    <w:lvl w:ilvl="6" w:tplc="7720A8FE">
      <w:start w:val="1"/>
      <w:numFmt w:val="bullet"/>
      <w:lvlText w:val="●"/>
      <w:lvlJc w:val="left"/>
      <w:pPr>
        <w:ind w:left="5040" w:hanging="360"/>
      </w:pPr>
    </w:lvl>
    <w:lvl w:ilvl="7" w:tplc="B19A0D00">
      <w:start w:val="1"/>
      <w:numFmt w:val="bullet"/>
      <w:lvlText w:val="●"/>
      <w:lvlJc w:val="left"/>
      <w:pPr>
        <w:ind w:left="5760" w:hanging="360"/>
      </w:pPr>
    </w:lvl>
    <w:lvl w:ilvl="8" w:tplc="262CEC60">
      <w:start w:val="1"/>
      <w:numFmt w:val="bullet"/>
      <w:lvlText w:val="●"/>
      <w:lvlJc w:val="left"/>
      <w:pPr>
        <w:ind w:left="6480" w:hanging="360"/>
      </w:pPr>
    </w:lvl>
  </w:abstractNum>
  <w:num w:numId="1" w16cid:durableId="117703389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7447"/>
    <w:rsid w:val="004A7447"/>
    <w:rsid w:val="0056790D"/>
    <w:rsid w:val="005A32A4"/>
    <w:rsid w:val="00BF27FD"/>
    <w:rsid w:val="00C222F7"/>
    <w:rsid w:val="00C922A7"/>
    <w:rsid w:val="00F7555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741A77"/>
  <w15:docId w15:val="{A2515A19-99E2-204B-8D08-89FA4DAF87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raditional Arabic" w:eastAsia="Traditional Arabic" w:hAnsi="Traditional Arabic" w:cs="Traditional Arabic"/>
        <w:sz w:val="28"/>
        <w:szCs w:val="28"/>
        <w:rtl/>
        <w:lang w:val="en-US" w:eastAsia="en-US" w:bidi="ar-SA"/>
      </w:rPr>
    </w:rPrDefault>
    <w:pPrDefault>
      <w:pPr>
        <w:bidi/>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uiPriority w:val="9"/>
    <w:qFormat/>
    <w:pPr>
      <w:outlineLvl w:val="0"/>
    </w:pPr>
    <w:rPr>
      <w:color w:val="2E74B5"/>
      <w:sz w:val="32"/>
      <w:szCs w:val="32"/>
    </w:rPr>
  </w:style>
  <w:style w:type="paragraph" w:styleId="2">
    <w:name w:val="heading 2"/>
    <w:uiPriority w:val="9"/>
    <w:semiHidden/>
    <w:unhideWhenUsed/>
    <w:qFormat/>
    <w:pPr>
      <w:outlineLvl w:val="1"/>
    </w:pPr>
    <w:rPr>
      <w:color w:val="2E74B5"/>
      <w:sz w:val="26"/>
      <w:szCs w:val="26"/>
    </w:rPr>
  </w:style>
  <w:style w:type="paragraph" w:styleId="3">
    <w:name w:val="heading 3"/>
    <w:uiPriority w:val="9"/>
    <w:semiHidden/>
    <w:unhideWhenUsed/>
    <w:qFormat/>
    <w:pPr>
      <w:outlineLvl w:val="2"/>
    </w:pPr>
    <w:rPr>
      <w:color w:val="1F4D78"/>
      <w:sz w:val="24"/>
      <w:szCs w:val="24"/>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تشديد1"/>
    <w:qFormat/>
    <w:rPr>
      <w:b/>
      <w:bCs/>
    </w:rPr>
  </w:style>
  <w:style w:type="paragraph" w:styleId="a4">
    <w:name w:val="List Paragraph"/>
    <w:qFormat/>
  </w:style>
  <w:style w:type="character" w:styleId="Hyperlink">
    <w:name w:val="Hyperlink"/>
    <w:uiPriority w:val="99"/>
    <w:unhideWhenUsed/>
    <w:rPr>
      <w:color w:val="0563C1"/>
      <w:u w:val="single"/>
    </w:rPr>
  </w:style>
  <w:style w:type="character" w:styleId="a5">
    <w:name w:val="footnote reference"/>
    <w:uiPriority w:val="99"/>
    <w:semiHidden/>
    <w:unhideWhenUsed/>
    <w:rPr>
      <w:vertAlign w:val="superscript"/>
    </w:rPr>
  </w:style>
  <w:style w:type="paragraph" w:styleId="a6">
    <w:name w:val="footnote text"/>
    <w:link w:val="Char"/>
    <w:uiPriority w:val="99"/>
    <w:semiHidden/>
    <w:unhideWhenUsed/>
    <w:rPr>
      <w:sz w:val="20"/>
      <w:szCs w:val="20"/>
    </w:rPr>
  </w:style>
  <w:style w:type="character" w:customStyle="1" w:styleId="Char">
    <w:name w:val="نص حاشية سفلية Char"/>
    <w:link w:val="a6"/>
    <w:uiPriority w:val="99"/>
    <w:semiHidden/>
    <w:unhideWhenUsed/>
    <w:rPr>
      <w:sz w:val="20"/>
      <w:szCs w:val="20"/>
    </w:rPr>
  </w:style>
  <w:style w:type="character" w:styleId="a7">
    <w:name w:val="endnote reference"/>
    <w:uiPriority w:val="99"/>
    <w:semiHidden/>
    <w:unhideWhenUsed/>
    <w:rPr>
      <w:vertAlign w:val="superscript"/>
    </w:rPr>
  </w:style>
  <w:style w:type="paragraph" w:styleId="a8">
    <w:name w:val="endnote text"/>
    <w:link w:val="Char0"/>
    <w:uiPriority w:val="99"/>
    <w:semiHidden/>
    <w:unhideWhenUsed/>
    <w:rPr>
      <w:sz w:val="20"/>
      <w:szCs w:val="20"/>
    </w:rPr>
  </w:style>
  <w:style w:type="character" w:customStyle="1" w:styleId="Char0">
    <w:name w:val="نص تعليق ختامي Char"/>
    <w:link w:val="a8"/>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9</Pages>
  <Words>1853</Words>
  <Characters>9749</Characters>
  <Application>Microsoft Office Word</Application>
  <DocSecurity>0</DocSecurity>
  <Lines>120</Lines>
  <Paragraphs>65</Paragraphs>
  <ScaleCrop>false</ScaleCrop>
  <Company/>
  <LinksUpToDate>false</LinksUpToDate>
  <CharactersWithSpaces>11537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emad alswaeer</cp:lastModifiedBy>
  <cp:revision>4</cp:revision>
  <dcterms:created xsi:type="dcterms:W3CDTF">2026-07-30T20:16:00Z</dcterms:created>
  <dcterms:modified xsi:type="dcterms:W3CDTF">2026-07-31T09:04:00Z</dcterms:modified>
</cp:coreProperties>
</file>