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الحجُّ الأكبر</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حجّةُ الوداع — رحلةُ التوحيد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جاء نصرُ الله والفتحُ ودخل الناسُ في دين الله أفواجًا، وآذَنَ المشهدُ بالنهاية ومِسكِ الختام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أقبلت الوفودُ من كلِّ حدبٍ وصوبٍ بعد أن آذنهم رسولُ الله ﷺ أنّه حاجٌّ في هذا العام: العامِ العاشر من هجرته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فتعالَوا معي بأرواحكم لنصحب هذه القافلة الإيمانيّة: قافلةَ التوحيد والسنّة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من المدينة إلى ذي الحُلَيفة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خرج ﷺ </w:t>
      </w:r>
      <w:r>
        <w:rPr>
          <w:rFonts w:ascii="Traditional Arabic" w:cs="Traditional Arabic" w:eastAsia="Traditional Arabic" w:hAnsi="Traditional Arabic"/>
          <w:b/>
          <w:bCs/>
          <w:i w:val="false"/>
          <w:iCs w:val="false"/>
          <w:sz w:val="28"/>
          <w:szCs w:val="28"/>
          <w:rtl/>
        </w:rPr>
        <w:t xml:space="preserve">لخمسٍ بقين من ذي القعدة</w:t>
      </w:r>
      <w:r>
        <w:rPr>
          <w:rFonts w:ascii="Traditional Arabic" w:cs="Traditional Arabic" w:eastAsia="Traditional Arabic" w:hAnsi="Traditional Arabic"/>
          <w:b w:val="false"/>
          <w:bCs w:val="false"/>
          <w:i w:val="false"/>
          <w:iCs w:val="false"/>
          <w:sz w:val="28"/>
          <w:szCs w:val="28"/>
          <w:rtl/>
        </w:rPr>
        <w:t xml:space="preserve"> فأقام بذي الحُلَيفة. </w:t>
      </w:r>
      <w:r>
        <w:rPr>
          <w:rFonts w:ascii="Traditional Arabic" w:cs="Traditional Arabic" w:eastAsia="Traditional Arabic" w:hAnsi="Traditional Arabic"/>
          <w:b/>
          <w:bCs/>
          <w:i w:val="false"/>
          <w:iCs w:val="false"/>
          <w:sz w:val="28"/>
          <w:szCs w:val="28"/>
          <w:rtl/>
        </w:rPr>
        <w:t xml:space="preserve">ثم قال: «أتاني الليلةَ آتٍ من ربّي فقال: صلِّ في هذا الوادي المبارك، وقُلْ: عمرةً في حَجّة»</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ثم اغتسل، وقلّد هديَه وأشعره، وطيّبته عائشةُ ﵂ بأطيبِ ما تجد، ثم لبس إزارَه ورداءه</w:t>
      </w:r>
      <w:r>
        <w:rPr>
          <w:rFonts w:ascii="Traditional Arabic" w:cs="Traditional Arabic" w:eastAsia="Traditional Arabic" w:hAnsi="Traditional Arabic"/>
          <w:b w:val="false"/>
          <w:bCs w:val="false"/>
          <w:i w:val="false"/>
          <w:iCs w:val="false"/>
          <w:sz w:val="28"/>
          <w:szCs w:val="28"/>
          <w:rtl/>
        </w:rPr>
        <w:t xml:space="preserve">؛ ثم ركِب راحلتَه فأهلَّ.</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فلبّت الصحراءُ بنداء التوحيد الخالد: </w:t>
      </w:r>
      <w:r>
        <w:rPr>
          <w:rFonts w:ascii="Traditional Arabic" w:cs="Traditional Arabic" w:eastAsia="Traditional Arabic" w:hAnsi="Traditional Arabic"/>
          <w:b/>
          <w:bCs/>
          <w:i w:val="false"/>
          <w:iCs w:val="false"/>
          <w:sz w:val="28"/>
          <w:szCs w:val="28"/>
          <w:rtl/>
        </w:rPr>
        <w:t xml:space="preserve">«لبّيك اللهمّ لبّيك، لبّيك لا شريك لك لبّيك، إنّ الحمدَ والنعمةَ لك والملك، لا شريك لك»</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ولم تعرف تلك الرحلةُ إلا التوحيد: توحيدًا خالصًا لا يُخالِطه شرك</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دخولُ مكّة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بات بذي طُوًى، ثم دخل مكّة — </w:t>
      </w:r>
      <w:r>
        <w:rPr>
          <w:rFonts w:ascii="Traditional Arabic" w:cs="Traditional Arabic" w:eastAsia="Traditional Arabic" w:hAnsi="Traditional Arabic"/>
          <w:b/>
          <w:bCs/>
          <w:i w:val="false"/>
          <w:iCs w:val="false"/>
          <w:sz w:val="28"/>
          <w:szCs w:val="28"/>
          <w:rtl/>
        </w:rPr>
        <w:t xml:space="preserve">التي غادرها قبل ثمانيةِ أعوامٍ خائفًا مطاردًا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واستشعِرْ فرقَ المشهدين: قبل سنواتٍ كان يُصلّي عند البيت فيُلقي عليه المشركون سَلا الجَزور وهو ساجد</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وقصده عقبةُ فخنقه بردائه حتى أقبل أبو بكرٍ ﵁ يدفعُهم ويقول: ﴿أَتَقْتُلُونَ رَجُلًا أَن يَقُولَ رَبِّيَ اللَّهُ﴾</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والآن: آلافٌ مؤلَّفةٌ من الموحّدين، والأصنامُ قد أُزيلت ومعالمُ الجاهليّة قد طُمِست!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فاستلم الحجرَ وقبّله، ثم طاف سبعًا، ثم صلّى خلف المقام ركعتين، ثم </w:t>
      </w:r>
      <w:r>
        <w:rPr>
          <w:rFonts w:ascii="Traditional Arabic" w:cs="Traditional Arabic" w:eastAsia="Traditional Arabic" w:hAnsi="Traditional Arabic"/>
          <w:b/>
          <w:bCs/>
          <w:i w:val="false"/>
          <w:iCs w:val="false"/>
          <w:sz w:val="28"/>
          <w:szCs w:val="28"/>
          <w:rtl/>
        </w:rPr>
        <w:t xml:space="preserve">رقِيَ الصفا فقرأ: ﴿إِنَّ الصَّفَا وَالْمَرْوَةَ مِن شَعَائِرِ اللَّهِ﴾ وقال: «أبدأُ بما بدأ اللهُ به»</w:t>
      </w:r>
      <w:r>
        <w:rPr>
          <w:rFonts w:ascii="Traditional Arabic" w:cs="Traditional Arabic" w:eastAsia="Traditional Arabic" w:hAnsi="Traditional Arabic"/>
          <w:b w:val="false"/>
          <w:bCs w:val="false"/>
          <w:i w:val="false"/>
          <w:iCs w:val="false"/>
          <w:sz w:val="28"/>
          <w:szCs w:val="28"/>
          <w:rtl/>
        </w:rPr>
        <w:t xml:space="preserve">، ثم سعى سبعًا. رواه مسلم.</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يومُ التروية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بقي على إحرامه — وكان قارنًا معه الهدي — </w:t>
      </w:r>
      <w:r>
        <w:rPr>
          <w:rFonts w:ascii="Traditional Arabic" w:cs="Traditional Arabic" w:eastAsia="Traditional Arabic" w:hAnsi="Traditional Arabic"/>
          <w:b/>
          <w:bCs/>
          <w:i w:val="false"/>
          <w:iCs w:val="false"/>
          <w:sz w:val="28"/>
          <w:szCs w:val="28"/>
          <w:rtl/>
        </w:rPr>
        <w:t xml:space="preserve">حتى كان اليومُ الثامن فخرج إلى مِنًى، فصلّى بها الظهرَ والعصرَ والمغربَ والعشاءَ والفجر</w:t>
      </w:r>
      <w:r>
        <w:rPr>
          <w:rFonts w:ascii="Traditional Arabic" w:cs="Traditional Arabic" w:eastAsia="Traditional Arabic" w:hAnsi="Traditional Arabic"/>
          <w:b w:val="false"/>
          <w:bCs w:val="false"/>
          <w:i w:val="false"/>
          <w:iCs w:val="false"/>
          <w:sz w:val="28"/>
          <w:szCs w:val="28"/>
          <w:rtl/>
        </w:rPr>
        <w:t xml:space="preserve">، ثم بات بها.</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يومُ عرفة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أشرقت شمسٌ ليست كسائر الشموس: </w:t>
      </w:r>
      <w:r>
        <w:rPr>
          <w:rFonts w:ascii="Traditional Arabic" w:cs="Traditional Arabic" w:eastAsia="Traditional Arabic" w:hAnsi="Traditional Arabic"/>
          <w:b/>
          <w:bCs/>
          <w:i w:val="false"/>
          <w:iCs w:val="false"/>
          <w:sz w:val="28"/>
          <w:szCs w:val="28"/>
          <w:rtl/>
        </w:rPr>
        <w:t xml:space="preserve">شمسُ يوم عرفة — أعظمِ أيام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فسار حتى أتى نَمِرةَ فنزل بها، حتى إذا زالت الشمسُ أمر بالقصواء فرُحِلت له، فأتى بطنَ الوادي فخطب الناسَ خطبةً عصماء</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فهدم الجاهليّةَ بدمائها ومعاملاتها فقال: </w:t>
      </w:r>
      <w:r>
        <w:rPr>
          <w:rFonts w:ascii="Traditional Arabic" w:cs="Traditional Arabic" w:eastAsia="Traditional Arabic" w:hAnsi="Traditional Arabic"/>
          <w:b/>
          <w:bCs/>
          <w:i w:val="false"/>
          <w:iCs w:val="false"/>
          <w:sz w:val="28"/>
          <w:szCs w:val="28"/>
          <w:rtl/>
        </w:rPr>
        <w:t xml:space="preserve">«ألا وإنّ كلَّ شيءٍ من أمر الجاهليّة تحت قدميَّ موضوع؛ ودماءُ الجاهليّة موضوعة… ورِبا الجاهليّة موضوع»</w:t>
      </w:r>
      <w:r>
        <w:rPr>
          <w:rFonts w:ascii="Traditional Arabic" w:cs="Traditional Arabic" w:eastAsia="Traditional Arabic" w:hAnsi="Traditional Arabic"/>
          <w:b w:val="false"/>
          <w:bCs w:val="false"/>
          <w:i w:val="false"/>
          <w:iCs w:val="false"/>
          <w:sz w:val="28"/>
          <w:szCs w:val="28"/>
          <w:rtl/>
        </w:rPr>
        <w:t xml:space="preserve">. ثم قال: </w:t>
      </w:r>
      <w:r>
        <w:rPr>
          <w:rFonts w:ascii="Traditional Arabic" w:cs="Traditional Arabic" w:eastAsia="Traditional Arabic" w:hAnsi="Traditional Arabic"/>
          <w:b/>
          <w:bCs/>
          <w:i w:val="false"/>
          <w:iCs w:val="false"/>
          <w:sz w:val="28"/>
          <w:szCs w:val="28"/>
          <w:rtl/>
        </w:rPr>
        <w:t xml:space="preserve">«فاتّقوا اللهَ في النساء؛ فإنّكم أخذتموهنّ بأمان الله»</w:t>
      </w:r>
      <w:r>
        <w:rPr>
          <w:rFonts w:ascii="Traditional Arabic" w:cs="Traditional Arabic" w:eastAsia="Traditional Arabic" w:hAnsi="Traditional Arabic"/>
          <w:b w:val="false"/>
          <w:bCs w:val="false"/>
          <w:i w:val="false"/>
          <w:iCs w:val="false"/>
          <w:sz w:val="28"/>
          <w:szCs w:val="28"/>
          <w:rtl/>
        </w:rPr>
        <w:t xml:space="preserve">. ثم قال: </w:t>
      </w:r>
      <w:r>
        <w:rPr>
          <w:rFonts w:ascii="Traditional Arabic" w:cs="Traditional Arabic" w:eastAsia="Traditional Arabic" w:hAnsi="Traditional Arabic"/>
          <w:b/>
          <w:bCs/>
          <w:i w:val="false"/>
          <w:iCs w:val="false"/>
          <w:sz w:val="28"/>
          <w:szCs w:val="28"/>
          <w:rtl/>
        </w:rPr>
        <w:t xml:space="preserve">«وقد تركتُ فيكم ما لن تضلّوا بعده إن اعتصمتم به: كتابَ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ثم قال: «وأنتم تُسألون عنّي، فما أنتم قائلون؟» قالوا: نشهد أنّك قد بلّغتَ وأدّيتَ ونصحت. فرفع إصبعَه إلى السماء ويَنكُتُها إلى الناس: «اللهمّ اشهَدْ، اللهمّ اشهَدْ، اللهمّ اشهَدْ»</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أذّن بلالٌ فصلّى الظهرَ والعصرَ جمعًا وقصرًا، </w:t>
      </w:r>
      <w:r>
        <w:rPr>
          <w:rFonts w:ascii="Traditional Arabic" w:cs="Traditional Arabic" w:eastAsia="Traditional Arabic" w:hAnsi="Traditional Arabic"/>
          <w:b/>
          <w:bCs/>
          <w:i w:val="false"/>
          <w:iCs w:val="false"/>
          <w:sz w:val="28"/>
          <w:szCs w:val="28"/>
          <w:rtl/>
        </w:rPr>
        <w:t xml:space="preserve">ثم ركب حتى أتى الموقف، فجعل بطنَ ناقته إلى الصخرات واستقبل القبلة، فلم يزل واقفًا رافعًا يديه يدعو حتى غربت الشمس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وهو القائل ﷺ: «خيرُ الدعاء دعاءُ يوم عرفة، وخيرُ ما قلتُ أنا والنبيّون من قبلي: لا إله إلا الله وحده لا شريك له، له الملكُ وله الحمد، وهو على كلِّ شيءٍ قدير»</w:t>
      </w:r>
      <w:r>
        <w:rPr>
          <w:rStyle w:val="FootnoteReference"/>
        </w:rPr>
        <w:footnoteReference w:id="13"/>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اكتمالُ الدين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ذلك الموقف نزل قولُه تعالى: </w:t>
      </w:r>
      <w:r>
        <w:rPr>
          <w:rFonts w:ascii="Traditional Arabic" w:cs="Traditional Arabic" w:eastAsia="Traditional Arabic" w:hAnsi="Traditional Arabic"/>
          <w:b/>
          <w:bCs/>
          <w:i w:val="false"/>
          <w:iCs w:val="false"/>
          <w:sz w:val="28"/>
          <w:szCs w:val="28"/>
          <w:rtl/>
        </w:rPr>
        <w:t xml:space="preserve">﴿الْيَوْمَ أَكْمَلْتُ لَكُمْ دِينَكُمْ وَأَتْمَمْتُ عَلَيْكُمْ نِعْمَتِي وَرَضِيتُ لَكُمُ الْإِسْلَامَ دِينًا﴾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وجاء يهوديٌّ إلى عمرَ ﵁ فقال: آيةٌ في كتابكم لو علينا معشرَ اليهود نزلت لاتّخذنا ذلك اليومَ عيدًا! فقال عمر: إنّي لأعلم أين نزلت وأيَّ يومٍ نزلت: نزلت ورسولُ الله ﷺ واقفٌ بعرفة يومَ جمعة</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وبكى عمرُ ﵁ حين سمِعها؛ </w:t>
      </w:r>
      <w:r>
        <w:rPr>
          <w:rFonts w:ascii="Traditional Arabic" w:cs="Traditional Arabic" w:eastAsia="Traditional Arabic" w:hAnsi="Traditional Arabic"/>
          <w:b/>
          <w:bCs/>
          <w:i w:val="false"/>
          <w:iCs w:val="false"/>
          <w:sz w:val="28"/>
          <w:szCs w:val="28"/>
          <w:rtl/>
        </w:rPr>
        <w:t xml:space="preserve">لأنّه علِم أنّ ما بعد الكمال إلا النقصان — وأنّ ذلك إيذانٌ بدنوّ أجله ﷺ</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ففي هذه الحجّة </w:t>
      </w:r>
      <w:r>
        <w:rPr>
          <w:rFonts w:ascii="Traditional Arabic" w:cs="Traditional Arabic" w:eastAsia="Traditional Arabic" w:hAnsi="Traditional Arabic"/>
          <w:b/>
          <w:bCs/>
          <w:i w:val="false"/>
          <w:iCs w:val="false"/>
          <w:sz w:val="28"/>
          <w:szCs w:val="28"/>
          <w:rtl/>
        </w:rPr>
        <w:t xml:space="preserve">أرسى ﷺ دعائمَ التوحيد وهدم الجاهليّة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وعلّم الأمّةَ أنّ الحجَّ للموحّدين، وأنّ ورثةَ الأنبياء هم مَن يقصدون البيتَ رافعين شعارَ التوحيد</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لا من رفع الصليبَ ولا من نبذ التوحيدَ بالشرك والبدع</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يرزقنا حَجَّ بيته على سنّة نبيّه، وأن يُتِمَّ علينا نعمةَ التوحيد والاتّباع.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والمنامات؛ لا يصحُّ رفعُه ولا يُبنى عليه حكم، وإنّما يُساق للاعتبار. وأصلُ المعنى ثابتٌ في الآيات والأحاديث المتقدّمة.</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(١٩٨٧) وأحمد من حديث أبي ذرٍّ ﵁. قال الترمذي: «حسنٌ صحيح»، وحسّنه الألباني في «صحيح الجامع» (٩٧) و«السلسلة الصحيحة» (١١٥٤).</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يُروى عن ابن عباسٍ ﵄ في كتب الرقائق والتفسير؛ ولم أقف على إسنادٍ صحيحٍ يثبت به عنه، فيُذكر على أنّه كلمةٌ حكيمةٌ لا أثرٌ ثابت. والمعنى صحيحٌ دلّت عليه نصوصُ اشتراط الإقلاع.</w:t>
      </w:r>
    </w:p>
  </w:footnote>
  <w:footnote w:id="5">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6">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(٣٥٣٧) وابن ماجه وأحمد من حديث ابن عمر ﵄، وحسّنه الألباني في «صحيح الجامع» (١٩٠٣) و«صحيح الترغيب» (٣١٤٣).</w:t>
      </w:r>
    </w:p>
  </w:footnote>
  <w:footnote w:id="7">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(٤٢٥٠) والطبراني من حديث ابن مسعودٍ ﵁، وحسّنه الألباني في «صحيح الجامع» (٣٠٠٨) و«السلسلة الصحيحة» (٣٤٠٨).</w:t>
      </w:r>
    </w:p>
  </w:footnote>
  <w:footnote w:id="8">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أبي طويلٍ شَطْبِ المَمدود ﵁، وحسّنه الألباني في «السلسلة الصحيحة» (٣٣٩١) و«صحيح الترغيب» (٣١٤٧).</w:t>
      </w:r>
    </w:p>
  </w:footnote>
  <w:footnote w:id="9">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(٤٢٥٢) وأحمد والحاكم من حديث ابن مسعودٍ ﵁، وصحّحه الألباني في «صحيح الجامع» (٦٨٠٢) و«السلسلة الصحيحة» (٣٥٥١).</w:t>
      </w:r>
    </w:p>
  </w:footnote>
  <w:footnote w:id="10">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(٢١٤٠) وابن ماجه وأحمد من حديث أنسٍ ﵁. قال الترمذي: «حسن»، وصحّحه الألباني في «صحيح الترمذي» و«ظلال الجنّة» (٢٢٠).</w:t>
      </w:r>
    </w:p>
  </w:footnote>
  <w:footnote w:id="1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(٢٤٦٥) وابن ماجه من حديث أنسٍ ﵁ وزيد بن ثابتٍ ﵁، وصحّحه الألباني في «صحيح الجامع» (٦٥١٦) و«السلسلة الصحيحة» (٩٥٠).</w:t>
      </w:r>
    </w:p>
  </w:footnote>
  <w:footnote w:id="1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مقدّمة ابن الأثير ﵀ لحوادث سنة ٦١٧هـ في «الكامل في التاريخ»، حين ذكر خروج التتار.</w:t>
      </w:r>
    </w:p>
  </w:footnote>
  <w:footnote w:id="13">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(٣٥٨٥) من حديث عمرو بن شعيبٍ عن أبيه عن جدّه، وحسّنه الألباني في «صحيح الجامع» (٣٢٧٤) و«السلسلة الصحيحة» (١٥٠٣).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الحجُّ الأكبر — حجّةُ الوداع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2026-08-02T14:35:10.144Z</dcterms:created>
  <dcterms:modified xsi:type="dcterms:W3CDTF">2026-08-02T14:35:10.144Z</dcterms:modified>
</cp:coreProperties>
</file>

<file path=docProps/custom.xml><?xml version="1.0" encoding="utf-8"?>
<Properties xmlns="http://schemas.openxmlformats.org/officeDocument/2006/custom-properties" xmlns:vt="http://schemas.openxmlformats.org/officeDocument/2006/docPropsVTypes"/>
</file>