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الأدبُ مع النبيِّ ﷺ</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مظاهرُه — وقد يُحبِطُ العملَ فقدُه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معاشرَ المصلّين: </w:t>
      </w:r>
      <w:r>
        <w:rPr>
          <w:rFonts w:ascii="Traditional Arabic" w:cs="Traditional Arabic" w:eastAsia="Traditional Arabic" w:hAnsi="Traditional Arabic"/>
          <w:b/>
          <w:bCs/>
          <w:i w:val="false"/>
          <w:iCs w:val="false"/>
          <w:sz w:val="28"/>
          <w:szCs w:val="28"/>
          <w:rtl/>
        </w:rPr>
        <w:t xml:space="preserve">يتفقّد أصحابَه كعادته: «ما لي لا أرى ثابتًا؟»</w:t>
      </w:r>
      <w:r>
        <w:rPr>
          <w:rFonts w:ascii="Traditional Arabic" w:cs="Traditional Arabic" w:eastAsia="Traditional Arabic" w:hAnsi="Traditional Arabic"/>
          <w:b w:val="false"/>
          <w:bCs w:val="false"/>
          <w:i w:val="false"/>
          <w:iCs w:val="false"/>
          <w:sz w:val="28"/>
          <w:szCs w:val="28"/>
          <w:rtl/>
        </w:rPr>
        <w:t xml:space="preserve"> — ذلك الصوتُ الجهوريُّ الذي كان يملأ الأرجاء. فهرول صحابيٌّ يسأل عنه، </w:t>
      </w:r>
      <w:r>
        <w:rPr>
          <w:rFonts w:ascii="Traditional Arabic" w:cs="Traditional Arabic" w:eastAsia="Traditional Arabic" w:hAnsi="Traditional Arabic"/>
          <w:b/>
          <w:bCs/>
          <w:i w:val="false"/>
          <w:iCs w:val="false"/>
          <w:sz w:val="28"/>
          <w:szCs w:val="28"/>
          <w:rtl/>
        </w:rPr>
        <w:t xml:space="preserve">فوجده في زاويةٍ من بيته مُنكِسًا رأسَه يبكي</w:t>
      </w:r>
      <w:r>
        <w:rPr>
          <w:rFonts w:ascii="Traditional Arabic" w:cs="Traditional Arabic" w:eastAsia="Traditional Arabic" w:hAnsi="Traditional Arabic"/>
          <w:b w:val="false"/>
          <w:bCs w:val="false"/>
          <w:i w:val="false"/>
          <w:iCs w:val="false"/>
          <w:sz w:val="28"/>
          <w:szCs w:val="28"/>
          <w:rtl/>
        </w:rPr>
        <w:t xml:space="preserve">. فقال: ما بك؟ فقال: </w:t>
      </w:r>
      <w:r>
        <w:rPr>
          <w:rFonts w:ascii="Traditional Arabic" w:cs="Traditional Arabic" w:eastAsia="Traditional Arabic" w:hAnsi="Traditional Arabic"/>
          <w:b/>
          <w:bCs/>
          <w:i w:val="false"/>
          <w:iCs w:val="false"/>
          <w:sz w:val="28"/>
          <w:szCs w:val="28"/>
          <w:rtl/>
        </w:rPr>
        <w:t xml:space="preserve">حَبِط عملي!</w:t>
      </w:r>
      <w:r>
        <w:rPr>
          <w:rFonts w:ascii="Traditional Arabic" w:cs="Traditional Arabic" w:eastAsia="Traditional Arabic" w:hAnsi="Traditional Arabic"/>
          <w:b w:val="false"/>
          <w:bCs w:val="false"/>
          <w:i w:val="false"/>
          <w:iCs w:val="false"/>
          <w:sz w:val="28"/>
          <w:szCs w:val="28"/>
          <w:rtl/>
        </w:rPr>
        <w:t xml:space="preserve"> قال: ولِمَ؟ قال: </w:t>
      </w:r>
      <w:r>
        <w:rPr>
          <w:rFonts w:ascii="Traditional Arabic" w:cs="Traditional Arabic" w:eastAsia="Traditional Arabic" w:hAnsi="Traditional Arabic"/>
          <w:b/>
          <w:bCs/>
          <w:i w:val="false"/>
          <w:iCs w:val="false"/>
          <w:sz w:val="28"/>
          <w:szCs w:val="28"/>
          <w:rtl/>
        </w:rPr>
        <w:t xml:space="preserve">نزلت آيةٌ على رسول الله ﷺ: ﴿لَا تَرْفَعُوا أَصْوَاتَكُمْ فَوْقَ صَوْتِ النَّبِيِّ… أَن تَحْبَطَ أَعْمَالُكُمْ﴾ — وأنا رجلٌ جهيرُ الصوت، فأنا من أهل النار!</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فعاد الصحابيُّ فأخبر النبيَّ ﷺ، فقال: </w:t>
      </w:r>
      <w:r>
        <w:rPr>
          <w:rFonts w:ascii="Traditional Arabic" w:cs="Traditional Arabic" w:eastAsia="Traditional Arabic" w:hAnsi="Traditional Arabic"/>
          <w:b/>
          <w:bCs/>
          <w:i w:val="false"/>
          <w:iCs w:val="false"/>
          <w:sz w:val="28"/>
          <w:szCs w:val="28"/>
          <w:rtl/>
        </w:rPr>
        <w:t xml:space="preserve">«اذهبْ إليه فقُلْ له: إنّك لستَ من أهل النار، ولكنّك من أهل الجنّة»</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إنّه ثابتُ بنُ قيس بن شمّاسٍ ﵁ — هكذا كان أدبُهم!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فحديثي اليوم عن </w:t>
      </w:r>
      <w:r>
        <w:rPr>
          <w:rFonts w:ascii="Traditional Arabic" w:cs="Traditional Arabic" w:eastAsia="Traditional Arabic" w:hAnsi="Traditional Arabic"/>
          <w:b/>
          <w:bCs/>
          <w:i w:val="false"/>
          <w:iCs w:val="false"/>
          <w:sz w:val="28"/>
          <w:szCs w:val="28"/>
          <w:rtl/>
        </w:rPr>
        <w:t xml:space="preserve">الأدب مع النبيّ ﷺ</w:t>
      </w:r>
      <w:r>
        <w:rPr>
          <w:rFonts w:ascii="Traditional Arabic" w:cs="Traditional Arabic" w:eastAsia="Traditional Arabic" w:hAnsi="Traditional Arabic"/>
          <w:b w:val="false"/>
          <w:bCs w:val="false"/>
          <w:i w:val="false"/>
          <w:iCs w:val="false"/>
          <w:sz w:val="28"/>
          <w:szCs w:val="28"/>
          <w:rtl/>
        </w:rPr>
        <w:t xml:space="preserve">؛ فإنّه </w:t>
      </w:r>
      <w:r>
        <w:rPr>
          <w:rFonts w:ascii="Traditional Arabic" w:cs="Traditional Arabic" w:eastAsia="Traditional Arabic" w:hAnsi="Traditional Arabic"/>
          <w:b/>
          <w:bCs/>
          <w:i w:val="false"/>
          <w:iCs w:val="false"/>
          <w:sz w:val="28"/>
          <w:szCs w:val="28"/>
          <w:rtl/>
        </w:rPr>
        <w:t xml:space="preserve">من أوجب الواجبات، وإنّ فَقْدَه قد يُحبِط العملَ وأنت لا تشعر</w:t>
      </w:r>
      <w:r>
        <w:rPr>
          <w:rFonts w:ascii="Traditional Arabic" w:cs="Traditional Arabic" w:eastAsia="Traditional Arabic" w:hAnsi="Traditional Arabic"/>
          <w:b w:val="false"/>
          <w:bCs w:val="false"/>
          <w:i w:val="false"/>
          <w:iCs w:val="false"/>
          <w:sz w:val="28"/>
          <w:szCs w:val="28"/>
          <w:rtl/>
        </w:rPr>
        <w:t xml:space="preserve">. فاعرِضْ نفسَك على هذه المظاهر.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المظهر الأول: الإكثارُ من ذكره والصلاةِ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فالصلاةُ عليه من أعظم صيغ الثناء والتعظيم. </w:t>
      </w:r>
      <w:r>
        <w:rPr>
          <w:rFonts w:ascii="Traditional Arabic" w:cs="Traditional Arabic" w:eastAsia="Traditional Arabic" w:hAnsi="Traditional Arabic"/>
          <w:b/>
          <w:bCs/>
          <w:i w:val="false"/>
          <w:iCs w:val="false"/>
          <w:sz w:val="28"/>
          <w:szCs w:val="28"/>
          <w:rtl/>
        </w:rPr>
        <w:t xml:space="preserve">وذُكِر في ترجمة الشافعيِّ ﵀ أنّه كان يُصلّي على النبيّ ﷺ في اليوم والليلة مرارًا كثيرة</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 وهو ﷺ يقول: </w:t>
      </w:r>
      <w:r>
        <w:rPr>
          <w:rFonts w:ascii="Traditional Arabic" w:cs="Traditional Arabic" w:eastAsia="Traditional Arabic" w:hAnsi="Traditional Arabic"/>
          <w:b/>
          <w:bCs/>
          <w:i w:val="false"/>
          <w:iCs w:val="false"/>
          <w:sz w:val="28"/>
          <w:szCs w:val="28"/>
          <w:rtl/>
        </w:rPr>
        <w:t xml:space="preserve">«أكثِروا عليَّ من الصلاة يومَ الجمعة؛ فإنّ صلاتكم معروضةٌ عليّ»</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ولكنِ </w:t>
      </w:r>
      <w:r>
        <w:rPr>
          <w:rFonts w:ascii="Traditional Arabic" w:cs="Traditional Arabic" w:eastAsia="Traditional Arabic" w:hAnsi="Traditional Arabic"/>
          <w:b/>
          <w:bCs/>
          <w:i w:val="false"/>
          <w:iCs w:val="false"/>
          <w:sz w:val="28"/>
          <w:szCs w:val="28"/>
          <w:rtl/>
        </w:rPr>
        <w:t xml:space="preserve">انتبه أن تتجاوز الحدَّ في المدح فتقع فيما يمقتُه الشرع</w:t>
      </w:r>
      <w:r>
        <w:rPr>
          <w:rFonts w:ascii="Traditional Arabic" w:cs="Traditional Arabic" w:eastAsia="Traditional Arabic" w:hAnsi="Traditional Arabic"/>
          <w:b w:val="false"/>
          <w:bCs w:val="false"/>
          <w:i w:val="false"/>
          <w:iCs w:val="false"/>
          <w:sz w:val="28"/>
          <w:szCs w:val="28"/>
          <w:rtl/>
        </w:rPr>
        <w:t xml:space="preserve">! ففي «المسند» أنّ رجلًا قال للنبيّ ﷺ: </w:t>
      </w:r>
      <w:r>
        <w:rPr>
          <w:rFonts w:ascii="Traditional Arabic" w:cs="Traditional Arabic" w:eastAsia="Traditional Arabic" w:hAnsi="Traditional Arabic"/>
          <w:b/>
          <w:bCs/>
          <w:i w:val="false"/>
          <w:iCs w:val="false"/>
          <w:sz w:val="28"/>
          <w:szCs w:val="28"/>
          <w:rtl/>
        </w:rPr>
        <w:t xml:space="preserve">ما شاء اللهُ وشئتَ. فقال: «أجعلتَني لله نِدًّا؟! قُلْ: ما شاء اللهُ وحدَه»</w:t>
      </w:r>
      <w:r>
        <w:rPr>
          <w:rStyle w:val="FootnoteReference"/>
        </w:rPr>
        <w:footnoteReference w:id="3"/>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يحمي حِمى التوحيد — لا لأنّه متشدّد، بل لأنّه يُوحِّدُ اللهَ حقًّا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فاحذَرْ مقالةَ مَن يقول في مَولده المُحدَث: «وإنّ من جودِك الدنيا وضَرَّتَها» — </w:t>
      </w:r>
      <w:r>
        <w:rPr>
          <w:rFonts w:ascii="Traditional Arabic" w:cs="Traditional Arabic" w:eastAsia="Traditional Arabic" w:hAnsi="Traditional Arabic"/>
          <w:b/>
          <w:bCs/>
          <w:i w:val="false"/>
          <w:iCs w:val="false"/>
          <w:sz w:val="28"/>
          <w:szCs w:val="28"/>
          <w:rtl/>
        </w:rPr>
        <w:t xml:space="preserve">أيْ: الدنيا والآخرة من جوده ﷺ!</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فأيُّ أدبٍ في هذا الإطراء؟!</w:t>
      </w:r>
      <w:r>
        <w:rPr>
          <w:rFonts w:ascii="Traditional Arabic" w:cs="Traditional Arabic" w:eastAsia="Traditional Arabic" w:hAnsi="Traditional Arabic"/>
          <w:b w:val="false"/>
          <w:bCs w:val="false"/>
          <w:i w:val="false"/>
          <w:iCs w:val="false"/>
          <w:sz w:val="28"/>
          <w:szCs w:val="28"/>
          <w:rtl/>
        </w:rPr>
        <w:t xml:space="preserve"> وقد قال ﷺ: </w:t>
      </w:r>
      <w:r>
        <w:rPr>
          <w:rFonts w:ascii="Traditional Arabic" w:cs="Traditional Arabic" w:eastAsia="Traditional Arabic" w:hAnsi="Traditional Arabic"/>
          <w:b/>
          <w:bCs/>
          <w:i w:val="false"/>
          <w:iCs w:val="false"/>
          <w:sz w:val="28"/>
          <w:szCs w:val="28"/>
          <w:rtl/>
        </w:rPr>
        <w:t xml:space="preserve">«لا تُطروني كما أطرت النصارى ابنَ مريم؛ إنّما أنا عبدٌ، فقولوا: عبدُ الله ورسولُه»</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المظهر الثاني: التسليمُ له والانقيادُ لأمره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ابنُ القيّم ﵀: </w:t>
      </w:r>
      <w:r>
        <w:rPr>
          <w:rFonts w:ascii="Traditional Arabic" w:cs="Traditional Arabic" w:eastAsia="Traditional Arabic" w:hAnsi="Traditional Arabic"/>
          <w:b/>
          <w:bCs/>
          <w:i w:val="false"/>
          <w:iCs w:val="false"/>
          <w:sz w:val="28"/>
          <w:szCs w:val="28"/>
          <w:rtl/>
        </w:rPr>
        <w:t xml:space="preserve">رأسُ الأدب معه ﷺ: التسليمُ والانقياد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فلستَ متأدّبًا معه يا من لم تُطِعْه في حجاب بناتك، ولا في بيعك وشرائك، ولا في تحكيم الكتاب والسنّة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فأظهِرْ أدبَك في كلّ شيء: في لباسك، وطعامك، وبيعك، وشرائك — حينها تكون متأدّبًا حقًّا</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المظهر الثالث: الأدبُ عند سماع حديثه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فحديثُه وحيُ السماء: </w:t>
      </w:r>
      <w:r>
        <w:rPr>
          <w:rFonts w:ascii="Traditional Arabic" w:cs="Traditional Arabic" w:eastAsia="Traditional Arabic" w:hAnsi="Traditional Arabic"/>
          <w:b/>
          <w:bCs/>
          <w:i w:val="false"/>
          <w:iCs w:val="false"/>
          <w:sz w:val="28"/>
          <w:szCs w:val="28"/>
          <w:rtl/>
        </w:rPr>
        <w:t xml:space="preserve">﴿وَمَا يَنطِقُ عَنِ الْهَوَىٰ • إِنْ هُوَ إِلَّا وَحْيٌ يُوحَىٰ﴾</w:t>
      </w:r>
      <w:r>
        <w:rPr>
          <w:rFonts w:ascii="Traditional Arabic" w:cs="Traditional Arabic" w:eastAsia="Traditional Arabic" w:hAnsi="Traditional Arabic"/>
          <w:b w:val="false"/>
          <w:bCs w:val="false"/>
          <w:i w:val="false"/>
          <w:iCs w:val="false"/>
          <w:sz w:val="28"/>
          <w:szCs w:val="28"/>
          <w:rtl/>
        </w:rPr>
        <w:t xml:space="preserve">. ولن أُحدّثكم عن الصحابة — فقد يُقال: تأدّبوا في حضرته — </w:t>
      </w:r>
      <w:r>
        <w:rPr>
          <w:rFonts w:ascii="Traditional Arabic" w:cs="Traditional Arabic" w:eastAsia="Traditional Arabic" w:hAnsi="Traditional Arabic"/>
          <w:b/>
          <w:bCs/>
          <w:i w:val="false"/>
          <w:iCs w:val="false"/>
          <w:sz w:val="28"/>
          <w:szCs w:val="28"/>
          <w:rtl/>
        </w:rPr>
        <w:t xml:space="preserve">بل سأفتح صفحةً من تأدُّب السلف</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bCs/>
          <w:i w:val="false"/>
          <w:iCs w:val="false"/>
          <w:sz w:val="28"/>
          <w:szCs w:val="28"/>
          <w:rtl/>
        </w:rPr>
        <w:t xml:space="preserve">سعيدُ بنُ المسيّب سيّدُ التابعين: </w:t>
      </w:r>
      <w:r>
        <w:rPr>
          <w:rFonts w:ascii="Traditional Arabic" w:cs="Traditional Arabic" w:eastAsia="Traditional Arabic" w:hAnsi="Traditional Arabic"/>
          <w:b w:val="false"/>
          <w:bCs w:val="false"/>
          <w:i w:val="false"/>
          <w:iCs w:val="false"/>
          <w:sz w:val="28"/>
          <w:szCs w:val="28"/>
          <w:rtl/>
        </w:rPr>
        <w:t xml:space="preserve"/>
      </w:r>
      <w:r>
        <w:rPr>
          <w:rFonts w:ascii="Traditional Arabic" w:cs="Traditional Arabic" w:eastAsia="Traditional Arabic" w:hAnsi="Traditional Arabic"/>
          <w:b/>
          <w:bCs/>
          <w:i w:val="false"/>
          <w:iCs w:val="false"/>
          <w:sz w:val="28"/>
          <w:szCs w:val="28"/>
          <w:rtl/>
        </w:rPr>
        <w:t xml:space="preserve">كان لا يُحدِّث بحديث النبيّ ﷺ وهو مُتّكئ؛ بل يجلس أحسنَ جِلسةٍ ولو كان مريضًا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أيّوبُ السَّخْتِيانيّ: </w:t>
      </w:r>
      <w:r>
        <w:rPr>
          <w:rFonts w:ascii="Traditional Arabic" w:cs="Traditional Arabic" w:eastAsia="Traditional Arabic" w:hAnsi="Traditional Arabic"/>
          <w:b w:val="false"/>
          <w:bCs w:val="false"/>
          <w:i w:val="false"/>
          <w:iCs w:val="false"/>
          <w:sz w:val="28"/>
          <w:szCs w:val="28"/>
          <w:rtl/>
        </w:rPr>
        <w:t xml:space="preserve">قيل لمالكٍ إمامِ دار الهجرة: متى سمعتَ من أيّوب؟ قال: </w:t>
      </w:r>
      <w:r>
        <w:rPr>
          <w:rFonts w:ascii="Traditional Arabic" w:cs="Traditional Arabic" w:eastAsia="Traditional Arabic" w:hAnsi="Traditional Arabic"/>
          <w:b/>
          <w:bCs/>
          <w:i w:val="false"/>
          <w:iCs w:val="false"/>
          <w:sz w:val="28"/>
          <w:szCs w:val="28"/>
          <w:rtl/>
        </w:rPr>
        <w:t xml:space="preserve">حججتُ معه مرّتين فما كنتُ أكتبُ عنه، حتى رأيتُه إذا ذُكِر النبيُّ ﷺ بكى حتى أرحمَه — فلمّا رأيتُ ذلك منه كتبتُ عنه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مالكٌ ﵀: </w:t>
      </w:r>
      <w:r>
        <w:rPr>
          <w:rFonts w:ascii="Traditional Arabic" w:cs="Traditional Arabic" w:eastAsia="Traditional Arabic" w:hAnsi="Traditional Arabic"/>
          <w:b w:val="false"/>
          <w:bCs w:val="false"/>
          <w:i w:val="false"/>
          <w:iCs w:val="false"/>
          <w:sz w:val="28"/>
          <w:szCs w:val="28"/>
          <w:rtl/>
        </w:rPr>
        <w:t xml:space="preserve"/>
      </w:r>
      <w:r>
        <w:rPr>
          <w:rFonts w:ascii="Traditional Arabic" w:cs="Traditional Arabic" w:eastAsia="Traditional Arabic" w:hAnsi="Traditional Arabic"/>
          <w:b/>
          <w:bCs/>
          <w:i w:val="false"/>
          <w:iCs w:val="false"/>
          <w:sz w:val="28"/>
          <w:szCs w:val="28"/>
          <w:rtl/>
        </w:rPr>
        <w:t xml:space="preserve">كان إذا أراد أن يُحدِّث توضّأ ولبِس أحسنَ ثيابه، وإذا حدّث طأطأ رأسَه</w:t>
      </w:r>
      <w:r>
        <w:rPr>
          <w:rFonts w:ascii="Traditional Arabic" w:cs="Traditional Arabic" w:eastAsia="Traditional Arabic" w:hAnsi="Traditional Arabic"/>
          <w:b w:val="false"/>
          <w:bCs w:val="false"/>
          <w:i w:val="false"/>
          <w:iCs w:val="false"/>
          <w:sz w:val="28"/>
          <w:szCs w:val="28"/>
          <w:rtl/>
        </w:rPr>
        <w:t xml:space="preserve">. فقيل له، فقال: </w:t>
      </w:r>
      <w:r>
        <w:rPr>
          <w:rFonts w:ascii="Traditional Arabic" w:cs="Traditional Arabic" w:eastAsia="Traditional Arabic" w:hAnsi="Traditional Arabic"/>
          <w:b/>
          <w:bCs/>
          <w:i w:val="false"/>
          <w:iCs w:val="false"/>
          <w:sz w:val="28"/>
          <w:szCs w:val="28"/>
          <w:rtl/>
        </w:rPr>
        <w:t xml:space="preserve">لو رأيتم ما رأيتُ ما عذلني أحد؛ لقد رأيتُ محمدَ بنَ المنكدر إذا ذُكِر النبيُّ ﷺ بكى حتى يرحمَه جلساؤه</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ونحن اليوم: </w:t>
      </w:r>
      <w:r>
        <w:rPr>
          <w:rFonts w:ascii="Traditional Arabic" w:cs="Traditional Arabic" w:eastAsia="Traditional Arabic" w:hAnsi="Traditional Arabic"/>
          <w:b/>
          <w:bCs/>
          <w:i w:val="false"/>
          <w:iCs w:val="false"/>
          <w:sz w:val="28"/>
          <w:szCs w:val="28"/>
          <w:rtl/>
        </w:rPr>
        <w:t xml:space="preserve">دفٌّ ورقصٌ وقفزٌ واختلاطٌ في المساجد — بحجّة التعظيم!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فأيُّ علاقةٍ بين التعظيم وبين القفز وتمايل الرؤوس؟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والمعظِّمون الحقيقيّون هم الذين يُحبّون كلَّ ما يتعلّق به: في هَديه ولحيته وثوبه ومِشيته وصلاته ووضوئه وسواكه</w:t>
      </w:r>
      <w:r>
        <w:rPr>
          <w:rFonts w:ascii="Traditional Arabic" w:cs="Traditional Arabic" w:eastAsia="Traditional Arabic" w:hAnsi="Traditional Arabic"/>
          <w:b w:val="false"/>
          <w:bCs w:val="false"/>
          <w:i w:val="false"/>
          <w:iCs w:val="false"/>
          <w:sz w:val="28"/>
          <w:szCs w:val="28"/>
          <w:rtl/>
        </w:rPr>
        <w:t xml:space="preserve"> — وقد صاروا في زماننا غرباء!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المظهر الرابع: قَبولُ حديثه وعدمُ عرضه على العقل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فمَن تأدّب معه ﷺ </w:t>
      </w:r>
      <w:r>
        <w:rPr>
          <w:rFonts w:ascii="Traditional Arabic" w:cs="Traditional Arabic" w:eastAsia="Traditional Arabic" w:hAnsi="Traditional Arabic"/>
          <w:b/>
          <w:bCs/>
          <w:i w:val="false"/>
          <w:iCs w:val="false"/>
          <w:sz w:val="28"/>
          <w:szCs w:val="28"/>
          <w:rtl/>
        </w:rPr>
        <w:t xml:space="preserve">صدّق أخبارَه، ولم يُميِّز بين آحادٍ ومتواتر؛ فكلُّ ما ثبت عنه تقوم به الحجّة ويثبت به العمل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 من قلّة الأدب أن تعرض حديثَه على العقل: فما وافقه قبلتَه وما خالفه رددتَه!</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ما وافق عاداتي وأهوائي وأسلوبَ حياتي أقبله، وما وافق دساتيرَ الغرب أقبله، وما سواه أضربُ به عرضَ الحائط!</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ومن قلّة الأدب </w:t>
      </w:r>
      <w:r>
        <w:rPr>
          <w:rFonts w:ascii="Traditional Arabic" w:cs="Traditional Arabic" w:eastAsia="Traditional Arabic" w:hAnsi="Traditional Arabic"/>
          <w:b/>
          <w:bCs/>
          <w:i w:val="false"/>
          <w:iCs w:val="false"/>
          <w:sz w:val="28"/>
          <w:szCs w:val="28"/>
          <w:rtl/>
        </w:rPr>
        <w:t xml:space="preserve">أن يُستهزَأ بألفاظ حديثه</w:t>
      </w:r>
      <w:r>
        <w:rPr>
          <w:rFonts w:ascii="Traditional Arabic" w:cs="Traditional Arabic" w:eastAsia="Traditional Arabic" w:hAnsi="Traditional Arabic"/>
          <w:b w:val="false"/>
          <w:bCs w:val="false"/>
          <w:i w:val="false"/>
          <w:iCs w:val="false"/>
          <w:sz w:val="28"/>
          <w:szCs w:val="28"/>
          <w:rtl/>
        </w:rPr>
        <w:t xml:space="preserve">؛ فيسخر ساخرون من قوله ﷺ: </w:t>
      </w:r>
      <w:r>
        <w:rPr>
          <w:rFonts w:ascii="Traditional Arabic" w:cs="Traditional Arabic" w:eastAsia="Traditional Arabic" w:hAnsi="Traditional Arabic"/>
          <w:b/>
          <w:bCs/>
          <w:i w:val="false"/>
          <w:iCs w:val="false"/>
          <w:sz w:val="28"/>
          <w:szCs w:val="28"/>
          <w:rtl/>
        </w:rPr>
        <w:t xml:space="preserve">«وكلُّ بدعةٍ ضلالة»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وهذا كلامُ سيّد البشر، أوحاه اللهُ إليه!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فعظِّمْ حديثَ نبيّك، واجعل قلبَك ولسانَك وبدنَك ينقاد؛ </w:t>
      </w:r>
      <w:r>
        <w:rPr>
          <w:rFonts w:ascii="Traditional Arabic" w:cs="Traditional Arabic" w:eastAsia="Traditional Arabic" w:hAnsi="Traditional Arabic"/>
          <w:b/>
          <w:bCs/>
          <w:i w:val="false"/>
          <w:iCs w:val="false"/>
          <w:sz w:val="28"/>
          <w:szCs w:val="28"/>
          <w:rtl/>
        </w:rPr>
        <w:t xml:space="preserve">وستعلمون غدًا مَن الكذّابُ الأشِر ومَن المتّبعُ الحقيقيّ — حين يُذادُ أناسٌ عن الحوض ويشرب آخرون شربةً لا يظمَؤون بعدها</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من أخبار ترجمته عند البيهقي في «مناقب الشافعي» والذهبي في «السير». وأمّا العددُ الذي يُتداول فلم أقف على إسنادٍ يثبته، فيُذكر مطلقًا.</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(١٥٣١) والنسائي وابن ماجه من حديث أوس بن أوس ﵁، وصحّحه الألباني في «صحيح أبي داود» (١٣٦٩) و«صحيح الجامع» (١٢٠٩).</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(١/٢١٤) والنسائي في «عمل اليوم والليلة» وابن ماجه من حديث ابن عباس ﵄، وصحّحه الألباني في «السلسلة الصحيحة» (١٣٩) و«صحيح الجامع» (٧٩٠).</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أخبارُ تأدُّب السلف مع الحديث في «الجامع لأخلاق الراوي وآداب السامع» للخطيب البغدادي، و«سير أعلام النبلاء» للذهبي. وهي من أخبار التراجم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الأدبُ مع النبيِّ ﷺ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2026-08-01T18:11:08.355Z</dcterms:created>
  <dcterms:modified xsi:type="dcterms:W3CDTF">2026-08-01T18:11:08.355Z</dcterms:modified>
</cp:coreProperties>
</file>

<file path=docProps/custom.xml><?xml version="1.0" encoding="utf-8"?>
<Properties xmlns="http://schemas.openxmlformats.org/officeDocument/2006/custom-properties" xmlns:vt="http://schemas.openxmlformats.org/officeDocument/2006/docPropsVTypes"/>
</file>