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الإسراءُ والمعراج</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من الطائفِ إلى سِدرة المنتهى — وعِظَمُ شأن الصلاة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يموت العمُّ النصير، وبعد أيّامٍ تتبعُه الزوجةُ الحبيبة</w:t>
      </w:r>
      <w:r>
        <w:rPr>
          <w:rFonts w:ascii="Traditional Arabic" w:cs="Traditional Arabic" w:eastAsia="Traditional Arabic" w:hAnsi="Traditional Arabic"/>
          <w:b w:val="false"/>
          <w:bCs w:val="false"/>
          <w:i w:val="false"/>
          <w:iCs w:val="false"/>
          <w:sz w:val="28"/>
          <w:szCs w:val="28"/>
          <w:rtl/>
        </w:rPr>
        <w:t xml:space="preserve">، فيشتدُّ الأذى حتى يبلغ منتهاه — </w:t>
      </w:r>
      <w:r>
        <w:rPr>
          <w:rFonts w:ascii="Traditional Arabic" w:cs="Traditional Arabic" w:eastAsia="Traditional Arabic" w:hAnsi="Traditional Arabic"/>
          <w:b/>
          <w:bCs/>
          <w:i w:val="false"/>
          <w:iCs w:val="false"/>
          <w:sz w:val="28"/>
          <w:szCs w:val="28"/>
          <w:rtl/>
        </w:rPr>
        <w:t xml:space="preserve">فيُغادر ﷺ أحبَّ البقاع إليه قاصدًا الطائف</w:t>
      </w:r>
      <w:r>
        <w:rPr>
          <w:rFonts w:ascii="Traditional Arabic" w:cs="Traditional Arabic" w:eastAsia="Traditional Arabic" w:hAnsi="Traditional Arabic"/>
          <w:b w:val="false"/>
          <w:bCs w:val="false"/>
          <w:i w:val="false"/>
          <w:iCs w:val="false"/>
          <w:sz w:val="28"/>
          <w:szCs w:val="28"/>
          <w:rtl/>
        </w:rPr>
        <w:t xml:space="preserve">. فتلقّاه أهلُها بأبشع لقاءٍ وأغرَوا به سفهاءهم </w:t>
      </w:r>
      <w:r>
        <w:rPr>
          <w:rFonts w:ascii="Traditional Arabic" w:cs="Traditional Arabic" w:eastAsia="Traditional Arabic" w:hAnsi="Traditional Arabic"/>
          <w:b/>
          <w:bCs/>
          <w:i w:val="false"/>
          <w:iCs w:val="false"/>
          <w:sz w:val="28"/>
          <w:szCs w:val="28"/>
          <w:rtl/>
        </w:rPr>
        <w:t xml:space="preserve">حتى سالت الدماءُ من قدميه الشريفتين</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فانطلق مهمومًا لم يُفِقْ إلا وهو بقَرنِ الثعالب؛ </w:t>
      </w:r>
      <w:r>
        <w:rPr>
          <w:rFonts w:ascii="Traditional Arabic" w:cs="Traditional Arabic" w:eastAsia="Traditional Arabic" w:hAnsi="Traditional Arabic"/>
          <w:b/>
          <w:bCs/>
          <w:i w:val="false"/>
          <w:iCs w:val="false"/>
          <w:sz w:val="28"/>
          <w:szCs w:val="28"/>
          <w:rtl/>
        </w:rPr>
        <w:t xml:space="preserve">فناداه جبريلُ ومعه مَلَكُ الجبال فقال: «إن شئتَ أن أُطبِقَ عليهم الأخشبين»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ﷺ — ولا يزال الرجاءُ يحدوه —: «بل أرجو أن يُخرِج اللهُ من أصلابهم مَن يعبدُ اللهَ وحدَه لا يُشرك به شيئًا»</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نزل إلى مكّة، </w:t>
      </w:r>
      <w:r>
        <w:rPr>
          <w:rFonts w:ascii="Traditional Arabic" w:cs="Traditional Arabic" w:eastAsia="Traditional Arabic" w:hAnsi="Traditional Arabic"/>
          <w:b/>
          <w:bCs/>
          <w:i w:val="false"/>
          <w:iCs w:val="false"/>
          <w:sz w:val="28"/>
          <w:szCs w:val="28"/>
          <w:rtl/>
        </w:rPr>
        <w:t xml:space="preserve">فلمّا قلَّ نصيرُ الأرض تنزّل نصيرُ السماء</w:t>
      </w:r>
      <w:r>
        <w:rPr>
          <w:rFonts w:ascii="Traditional Arabic" w:cs="Traditional Arabic" w:eastAsia="Traditional Arabic" w:hAnsi="Traditional Arabic"/>
          <w:b w:val="false"/>
          <w:bCs w:val="false"/>
          <w:i w:val="false"/>
          <w:iCs w:val="false"/>
          <w:sz w:val="28"/>
          <w:szCs w:val="28"/>
          <w:rtl/>
        </w:rPr>
        <w:t xml:space="preserve">؛ فأتاه جبريلُ فشقَّ صدرَه وغسل قلبَه بماء زمزم، ثم ملأه إيمانًا وحكمة، ثم أتاه بالبُراق </w:t>
      </w:r>
      <w:r>
        <w:rPr>
          <w:rFonts w:ascii="Traditional Arabic" w:cs="Traditional Arabic" w:eastAsia="Traditional Arabic" w:hAnsi="Traditional Arabic"/>
          <w:b/>
          <w:bCs/>
          <w:i w:val="false"/>
          <w:iCs w:val="false"/>
          <w:sz w:val="28"/>
          <w:szCs w:val="28"/>
          <w:rtl/>
        </w:rPr>
        <w:t xml:space="preserve">فانطلق به إلى بيت المقدس</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في المسجد الأقصى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فدخل المسجدَ فرأى </w:t>
      </w:r>
      <w:r>
        <w:rPr>
          <w:rFonts w:ascii="Traditional Arabic" w:cs="Traditional Arabic" w:eastAsia="Traditional Arabic" w:hAnsi="Traditional Arabic"/>
          <w:b/>
          <w:bCs/>
          <w:i w:val="false"/>
          <w:iCs w:val="false"/>
          <w:sz w:val="28"/>
          <w:szCs w:val="28"/>
          <w:rtl/>
        </w:rPr>
        <w:t xml:space="preserve">رجلًا آدَمَ جَعْدًا كأنّه من رجال شَنُوءة — فقال جبريل: هذا أخوك موسى</w:t>
      </w:r>
      <w:r>
        <w:rPr>
          <w:rFonts w:ascii="Traditional Arabic" w:cs="Traditional Arabic" w:eastAsia="Traditional Arabic" w:hAnsi="Traditional Arabic"/>
          <w:b w:val="false"/>
          <w:bCs w:val="false"/>
          <w:i w:val="false"/>
          <w:iCs w:val="false"/>
          <w:sz w:val="28"/>
          <w:szCs w:val="28"/>
          <w:rtl/>
        </w:rPr>
        <w:t xml:space="preserve">؛ ثم رأى </w:t>
      </w:r>
      <w:r>
        <w:rPr>
          <w:rFonts w:ascii="Traditional Arabic" w:cs="Traditional Arabic" w:eastAsia="Traditional Arabic" w:hAnsi="Traditional Arabic"/>
          <w:b/>
          <w:bCs/>
          <w:i w:val="false"/>
          <w:iCs w:val="false"/>
          <w:sz w:val="28"/>
          <w:szCs w:val="28"/>
          <w:rtl/>
        </w:rPr>
        <w:t xml:space="preserve">رجلًا رَبْعةً أحمرَ كأنّما خرج من دِيماس — فقال: هذا عيسى</w:t>
      </w:r>
      <w:r>
        <w:rPr>
          <w:rFonts w:ascii="Traditional Arabic" w:cs="Traditional Arabic" w:eastAsia="Traditional Arabic" w:hAnsi="Traditional Arabic"/>
          <w:b w:val="false"/>
          <w:bCs w:val="false"/>
          <w:i w:val="false"/>
          <w:iCs w:val="false"/>
          <w:sz w:val="28"/>
          <w:szCs w:val="28"/>
          <w:rtl/>
        </w:rPr>
        <w:t xml:space="preserve">؛ ثم رأى </w:t>
      </w:r>
      <w:r>
        <w:rPr>
          <w:rFonts w:ascii="Traditional Arabic" w:cs="Traditional Arabic" w:eastAsia="Traditional Arabic" w:hAnsi="Traditional Arabic"/>
          <w:b/>
          <w:bCs/>
          <w:i w:val="false"/>
          <w:iCs w:val="false"/>
          <w:sz w:val="28"/>
          <w:szCs w:val="28"/>
          <w:rtl/>
        </w:rPr>
        <w:t xml:space="preserve">شيخًا ذا مهابةٍ أشبهَ الناس برسول الله ﷺ — فقال: هذا أبوك إبراهيم</w:t>
      </w:r>
      <w:r>
        <w:rPr>
          <w:rFonts w:ascii="Traditional Arabic" w:cs="Traditional Arabic" w:eastAsia="Traditional Arabic" w:hAnsi="Traditional Arabic"/>
          <w:b w:val="false"/>
          <w:bCs w:val="false"/>
          <w:i w:val="false"/>
          <w:iCs w:val="false"/>
          <w:sz w:val="28"/>
          <w:szCs w:val="28"/>
          <w:rtl/>
        </w:rPr>
        <w:t xml:space="preserve">. ثم أُقيمت الصلاةُ </w:t>
      </w:r>
      <w:r>
        <w:rPr>
          <w:rFonts w:ascii="Traditional Arabic" w:cs="Traditional Arabic" w:eastAsia="Traditional Arabic" w:hAnsi="Traditional Arabic"/>
          <w:b/>
          <w:bCs/>
          <w:i w:val="false"/>
          <w:iCs w:val="false"/>
          <w:sz w:val="28"/>
          <w:szCs w:val="28"/>
          <w:rtl/>
        </w:rPr>
        <w:t xml:space="preserve">فتقدّم نبيُّكم ﷺ فصلّى بجموع الأنبياء إمامًا</w:t>
      </w:r>
      <w:r>
        <w:rPr>
          <w:rFonts w:ascii="Traditional Arabic" w:cs="Traditional Arabic" w:eastAsia="Traditional Arabic" w:hAnsi="Traditional Arabic"/>
          <w:b w:val="false"/>
          <w:bCs w:val="false"/>
          <w:i w:val="false"/>
          <w:iCs w:val="false"/>
          <w:sz w:val="28"/>
          <w:szCs w:val="28"/>
          <w:rtl/>
        </w:rPr>
        <w:t xml:space="preserve">. رواه مسلم بنحوه.</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في السماوات</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عُرِج به، فمرَّ بآدمَ في السماء الأولى، </w:t>
      </w:r>
      <w:r>
        <w:rPr>
          <w:rFonts w:ascii="Traditional Arabic" w:cs="Traditional Arabic" w:eastAsia="Traditional Arabic" w:hAnsi="Traditional Arabic"/>
          <w:b/>
          <w:bCs/>
          <w:i w:val="false"/>
          <w:iCs w:val="false"/>
          <w:sz w:val="28"/>
          <w:szCs w:val="28"/>
          <w:rtl/>
        </w:rPr>
        <w:t xml:space="preserve">فإذا هو يلتفت عن يمينه فيضحك، ويلتفت عن شماله فيبكي</w:t>
      </w:r>
      <w:r>
        <w:rPr>
          <w:rFonts w:ascii="Traditional Arabic" w:cs="Traditional Arabic" w:eastAsia="Traditional Arabic" w:hAnsi="Traditional Arabic"/>
          <w:b w:val="false"/>
          <w:bCs w:val="false"/>
          <w:i w:val="false"/>
          <w:iCs w:val="false"/>
          <w:sz w:val="28"/>
          <w:szCs w:val="28"/>
          <w:rtl/>
        </w:rPr>
        <w:t xml:space="preserve">. فسأل جبريلَ فقال: </w:t>
      </w:r>
      <w:r>
        <w:rPr>
          <w:rFonts w:ascii="Traditional Arabic" w:cs="Traditional Arabic" w:eastAsia="Traditional Arabic" w:hAnsi="Traditional Arabic"/>
          <w:b/>
          <w:bCs/>
          <w:i w:val="false"/>
          <w:iCs w:val="false"/>
          <w:sz w:val="28"/>
          <w:szCs w:val="28"/>
          <w:rtl/>
        </w:rPr>
        <w:t xml:space="preserve">«أمّا الذين عن يمينه فنَسَمُ أهل الجنّة، وأمّا الذين عن شماله فنَسَمُ أهل النار»</w:t>
      </w:r>
      <w:r>
        <w:rPr>
          <w:rFonts w:ascii="Traditional Arabic" w:cs="Traditional Arabic" w:eastAsia="Traditional Arabic" w:hAnsi="Traditional Arabic"/>
          <w:b w:val="false"/>
          <w:bCs w:val="false"/>
          <w:i w:val="false"/>
          <w:iCs w:val="false"/>
          <w:sz w:val="28"/>
          <w:szCs w:val="28"/>
          <w:rtl/>
        </w:rPr>
        <w:t xml:space="preserve">. متفقٌ عليه.</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ثم عيسى ويحيى في الثانية، ويوسفُ في الثالثة — </w:t>
      </w:r>
      <w:r>
        <w:rPr>
          <w:rFonts w:ascii="Traditional Arabic" w:cs="Traditional Arabic" w:eastAsia="Traditional Arabic" w:hAnsi="Traditional Arabic"/>
          <w:b/>
          <w:bCs/>
          <w:i w:val="false"/>
          <w:iCs w:val="false"/>
          <w:sz w:val="28"/>
          <w:szCs w:val="28"/>
          <w:rtl/>
        </w:rPr>
        <w:t xml:space="preserve">وقد أُعطيَ شَطرَ الحُسن</w:t>
      </w:r>
      <w:r>
        <w:rPr>
          <w:rFonts w:ascii="Traditional Arabic" w:cs="Traditional Arabic" w:eastAsia="Traditional Arabic" w:hAnsi="Traditional Arabic"/>
          <w:b w:val="false"/>
          <w:bCs w:val="false"/>
          <w:i w:val="false"/>
          <w:iCs w:val="false"/>
          <w:sz w:val="28"/>
          <w:szCs w:val="28"/>
          <w:rtl/>
        </w:rPr>
        <w:t xml:space="preserve"> — وإدريسُ في الرابعة، وهارونُ في الخامسة، وموسى في السادسة. </w:t>
      </w:r>
      <w:r>
        <w:rPr>
          <w:rFonts w:ascii="Traditional Arabic" w:cs="Traditional Arabic" w:eastAsia="Traditional Arabic" w:hAnsi="Traditional Arabic"/>
          <w:b/>
          <w:bCs/>
          <w:i w:val="false"/>
          <w:iCs w:val="false"/>
          <w:sz w:val="28"/>
          <w:szCs w:val="28"/>
          <w:rtl/>
        </w:rPr>
        <w:t xml:space="preserve">ولمّا جاوزه بكى موسى، فقيل: ما يُبكيك؟ قال: أبكي لأنّ غلامًا بُعِث بعدي يدخلُ الجنّةَ من أمّته أكثرُ ممّن يدخلُها من أمّتي</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ثم إبراهيمُ في السابعة، ثم سِدرةُ المنتهى — وهناك فُرِضت الصلاة</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ومن جميل ما ذكره أهلُ السِّيَر — كالسُّهيليّ — أنّ في ترتيب لقائه بالأنبياء </w:t>
      </w:r>
      <w:r>
        <w:rPr>
          <w:rFonts w:ascii="Traditional Arabic" w:cs="Traditional Arabic" w:eastAsia="Traditional Arabic" w:hAnsi="Traditional Arabic"/>
          <w:b/>
          <w:bCs/>
          <w:i w:val="false"/>
          <w:iCs w:val="false"/>
          <w:sz w:val="28"/>
          <w:szCs w:val="28"/>
          <w:rtl/>
        </w:rPr>
        <w:t xml:space="preserve">رسائلَ إلى النبيّ ﷺ بما سيلقاه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فآدمُ غادر موطنَه — وستُغادر مكّة؛ ويحيى وعيسى آذاهما اليهود — وسيُؤذيك اليهود؛ ويوسفُ آذاه أهلُه ثم قال: «لا تثريب» — وستقولها يوم الفتح؛ وإدريسُ رُفِع مكانًا عليًّا — وسيُرفَع ذكرُك؛ وهارونُ كان محبَّبًا في قومه — وكذلك أنت في أصحابك؛ وموسى لقي شدّةً في قومه — وستلقى مثلَها؛ وخُتِم بإبراهيمَ لأنّ المِلّةَ مِلّتُه وأنت وارثُها</w:t>
      </w:r>
      <w:r>
        <w:rPr>
          <w:rStyle w:val="FootnoteReference"/>
        </w:rPr>
        <w:footnoteReference w:id="10"/>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الأولى: بين مصدِّقٍ ومكذِّب</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فلمّا أصبح ﷺ لقيَه أبو جهلٍ فأخبره الخبر، </w:t>
      </w:r>
      <w:r>
        <w:rPr>
          <w:rFonts w:ascii="Traditional Arabic" w:cs="Traditional Arabic" w:eastAsia="Traditional Arabic" w:hAnsi="Traditional Arabic"/>
          <w:b/>
          <w:bCs/>
          <w:i w:val="false"/>
          <w:iCs w:val="false"/>
          <w:sz w:val="28"/>
          <w:szCs w:val="28"/>
          <w:rtl/>
        </w:rPr>
        <w:t xml:space="preserve">ففرح الطاغيةُ ودعا قومَه: «الآن يظهرُ كذبُه ويرتدُّ أصحابُه!»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فسألوه أن يَنعَتَ لهم بيتَ المقدس — فرفعه اللهُ له فجعل ينعتُه رأيَ العين</w:t>
      </w:r>
      <w:r>
        <w:rPr>
          <w:rFonts w:ascii="Traditional Arabic" w:cs="Traditional Arabic" w:eastAsia="Traditional Arabic" w:hAnsi="Traditional Arabic"/>
          <w:b w:val="false"/>
          <w:bCs w:val="false"/>
          <w:i w:val="false"/>
          <w:iCs w:val="false"/>
          <w:sz w:val="28"/>
          <w:szCs w:val="28"/>
          <w:rtl/>
        </w:rPr>
        <w:t xml:space="preserve">. رواه مسلم. </w:t>
      </w:r>
      <w:r>
        <w:rPr>
          <w:rFonts w:ascii="Traditional Arabic" w:cs="Traditional Arabic" w:eastAsia="Traditional Arabic" w:hAnsi="Traditional Arabic"/>
          <w:b/>
          <w:bCs/>
          <w:i w:val="false"/>
          <w:iCs w:val="false"/>
          <w:sz w:val="28"/>
          <w:szCs w:val="28"/>
          <w:rtl/>
        </w:rPr>
        <w:t xml:space="preserve">وهم بين تصفيقٍ واستهزاء، وبين إيمانٍ وإذعان</w:t>
      </w:r>
      <w:r>
        <w:rPr>
          <w:rFonts w:ascii="Traditional Arabic" w:cs="Traditional Arabic" w:eastAsia="Traditional Arabic" w:hAnsi="Traditional Arabic"/>
          <w:b w:val="false"/>
          <w:bCs w:val="false"/>
          <w:i w:val="false"/>
          <w:iCs w:val="false"/>
          <w:sz w:val="28"/>
          <w:szCs w:val="28"/>
          <w:rtl/>
        </w:rPr>
        <w:t xml:space="preserve">. فجاؤوا إلى أبي بكرٍ ﵁ فقال: </w:t>
      </w:r>
      <w:r>
        <w:rPr>
          <w:rFonts w:ascii="Traditional Arabic" w:cs="Traditional Arabic" w:eastAsia="Traditional Arabic" w:hAnsi="Traditional Arabic"/>
          <w:b/>
          <w:bCs/>
          <w:i w:val="false"/>
          <w:iCs w:val="false"/>
          <w:sz w:val="28"/>
          <w:szCs w:val="28"/>
          <w:rtl/>
        </w:rPr>
        <w:t xml:space="preserve">«إن كان قال ذلك فقد صدق» — فمِن يومها سُمّي الصدّيق</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الثانية: الأقصى عقيدة</w:t>
      </w:r>
    </w:p>
    <w:p>
      <w:pPr>
        <w:bidi/>
        <w:spacing w:after="130" w:line="365"/>
        <w:jc w:val="both"/>
      </w:pPr>
      <w:r>
        <w:rPr>
          <w:rFonts w:ascii="Traditional Arabic" w:cs="Traditional Arabic" w:eastAsia="Traditional Arabic" w:hAnsi="Traditional Arabic"/>
          <w:b/>
          <w:bCs/>
          <w:i w:val="false"/>
          <w:iCs w:val="false"/>
          <w:sz w:val="28"/>
          <w:szCs w:val="28"/>
          <w:rtl/>
        </w:rPr>
        <w:t xml:space="preserve">﴿سُبْحَانَ الَّذِي أَسْرَىٰ بِعَبْدِهِ لَيْلًا مِّنَ الْمَسْجِدِ الْحَرَامِ إِلَى الْمَسْجِدِ الْأَقْصَى﴾</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ما أُسريَ به إلى المدينة، ولا إلى العراق، ولا إلى غيرها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فالأقصى عقيدةٌ ارتبط بها رسولُك ﷺ؛ فلا حائطَ مبكًى ولا هيكلَ مزعوم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وإنّ مقدارَ تعظيمك للأقصى ليدلُّ على وجود الإيمان في قلبك — فإن لم تكن كذلك فراجِعْ إيمانك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الوقفة الثالثة: عِظَمُ شأن الصلاة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فإنّ </w:t>
      </w:r>
      <w:r>
        <w:rPr>
          <w:rFonts w:ascii="Traditional Arabic" w:cs="Traditional Arabic" w:eastAsia="Traditional Arabic" w:hAnsi="Traditional Arabic"/>
          <w:b/>
          <w:bCs/>
          <w:i w:val="false"/>
          <w:iCs w:val="false"/>
          <w:sz w:val="28"/>
          <w:szCs w:val="28"/>
          <w:rtl/>
        </w:rPr>
        <w:t xml:space="preserve">الصلاةَ فُرِضت في السماء ولم تُفرَض في الأرض</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فُرِضت من فوق سبع سماوات — وفي ذلك رسالةٌ أنّ شأنَها عظيمٌ ليس بالهيِّن</w:t>
      </w:r>
      <w:r>
        <w:rPr>
          <w:rFonts w:ascii="Traditional Arabic" w:cs="Traditional Arabic" w:eastAsia="Traditional Arabic" w:hAnsi="Traditional Arabic"/>
          <w:b w:val="false"/>
          <w:bCs w:val="false"/>
          <w:i w:val="false"/>
          <w:iCs w:val="false"/>
          <w:sz w:val="28"/>
          <w:szCs w:val="28"/>
          <w:rtl/>
        </w:rPr>
        <w:t xml:space="preserve">. ولذلك قال تعالى: </w:t>
      </w:r>
      <w:r>
        <w:rPr>
          <w:rFonts w:ascii="Traditional Arabic" w:cs="Traditional Arabic" w:eastAsia="Traditional Arabic" w:hAnsi="Traditional Arabic"/>
          <w:b/>
          <w:bCs/>
          <w:i w:val="false"/>
          <w:iCs w:val="false"/>
          <w:sz w:val="28"/>
          <w:szCs w:val="28"/>
          <w:rtl/>
        </w:rPr>
        <w:t xml:space="preserve">﴿فَخَلَفَ مِن بَعْدِهِمْ خَلْفٌ أَضَاعُوا الصَّلَاةَ وَاتَّبَعُوا الشَّهَوَاتِ فَسَوْفَ يَلْقَوْنَ غَيًّا﴾</w:t>
      </w:r>
      <w:r>
        <w:rPr>
          <w:rFonts w:ascii="Traditional Arabic" w:cs="Traditional Arabic" w:eastAsia="Traditional Arabic" w:hAnsi="Traditional Arabic"/>
          <w:b w:val="false"/>
          <w:bCs w:val="false"/>
          <w:i w:val="false"/>
          <w:iCs w:val="false"/>
          <w:sz w:val="28"/>
          <w:szCs w:val="28"/>
          <w:rtl/>
        </w:rPr>
        <w:t xml:space="preserve">. وقال ﷺ: </w:t>
      </w:r>
      <w:r>
        <w:rPr>
          <w:rFonts w:ascii="Traditional Arabic" w:cs="Traditional Arabic" w:eastAsia="Traditional Arabic" w:hAnsi="Traditional Arabic"/>
          <w:b/>
          <w:bCs/>
          <w:i w:val="false"/>
          <w:iCs w:val="false"/>
          <w:sz w:val="28"/>
          <w:szCs w:val="28"/>
          <w:rtl/>
        </w:rPr>
        <w:t xml:space="preserve">«بين الرجل وبين الشرك والكفر تركُ الصلاة»</w:t>
      </w:r>
      <w:r>
        <w:rPr>
          <w:rFonts w:ascii="Traditional Arabic" w:cs="Traditional Arabic" w:eastAsia="Traditional Arabic" w:hAnsi="Traditional Arabic"/>
          <w:b w:val="false"/>
          <w:bCs w:val="false"/>
          <w:i w:val="false"/>
          <w:iCs w:val="false"/>
          <w:sz w:val="28"/>
          <w:szCs w:val="28"/>
          <w:rtl/>
        </w:rPr>
        <w:t xml:space="preserve">. رواه مسلم.</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ولمّا طُعِن عمرُ ﵁ في صلاة الفجر حُمِل مُغمًى عليه، فما أفاق؛ </w:t>
      </w:r>
      <w:r>
        <w:rPr>
          <w:rFonts w:ascii="Traditional Arabic" w:cs="Traditional Arabic" w:eastAsia="Traditional Arabic" w:hAnsi="Traditional Arabic"/>
          <w:b/>
          <w:bCs/>
          <w:i w:val="false"/>
          <w:iCs w:val="false"/>
          <w:sz w:val="28"/>
          <w:szCs w:val="28"/>
          <w:rtl/>
        </w:rPr>
        <w:t xml:space="preserve">فقال رجل: أيقِظوه بالصلاة — فلا شيءَ يُحرِّك قلبَ المؤمن بعد التوحيد كالصلاة</w:t>
      </w:r>
      <w:r>
        <w:rPr>
          <w:rFonts w:ascii="Traditional Arabic" w:cs="Traditional Arabic" w:eastAsia="Traditional Arabic" w:hAnsi="Traditional Arabic"/>
          <w:b w:val="false"/>
          <w:bCs w:val="false"/>
          <w:i w:val="false"/>
          <w:iCs w:val="false"/>
          <w:sz w:val="28"/>
          <w:szCs w:val="28"/>
          <w:rtl/>
        </w:rPr>
        <w:t xml:space="preserve">. فقيل: الصلاةَ يا أمير المؤمنين! </w:t>
      </w:r>
      <w:r>
        <w:rPr>
          <w:rFonts w:ascii="Traditional Arabic" w:cs="Traditional Arabic" w:eastAsia="Traditional Arabic" w:hAnsi="Traditional Arabic"/>
          <w:b/>
          <w:bCs/>
          <w:i w:val="false"/>
          <w:iCs w:val="false"/>
          <w:sz w:val="28"/>
          <w:szCs w:val="28"/>
          <w:rtl/>
        </w:rPr>
        <w:t xml:space="preserve">ففتح عينيه وقال: «الصلاةَ؟ نعم، ولا حظَّ في الإسلام لمن ترك الصلاة» — ثم قام فصلّى وجُرحُه يَثعَب دمًا</w:t>
      </w:r>
      <w:r>
        <w:rPr>
          <w:rFonts w:ascii="Traditional Arabic" w:cs="Traditional Arabic" w:eastAsia="Traditional Arabic" w:hAnsi="Traditional Arabic"/>
          <w:b w:val="false"/>
          <w:bCs w:val="false"/>
          <w:i w:val="false"/>
          <w:iCs w:val="false"/>
          <w:sz w:val="28"/>
          <w:szCs w:val="28"/>
          <w:rtl/>
        </w:rPr>
        <w:t xml:space="preserve">. رواه مالك في «الموطأ».</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المعنى سافر في قلب أنسٍ ﵁؛ </w:t>
      </w:r>
      <w:r>
        <w:rPr>
          <w:rFonts w:ascii="Traditional Arabic" w:cs="Traditional Arabic" w:eastAsia="Traditional Arabic" w:hAnsi="Traditional Arabic"/>
          <w:b/>
          <w:bCs/>
          <w:i w:val="false"/>
          <w:iCs w:val="false"/>
          <w:sz w:val="28"/>
          <w:szCs w:val="28"/>
          <w:rtl/>
        </w:rPr>
        <w:t xml:space="preserve">ففي فتح تُسْتَر التحم المسلمون فحان وقتُ الفتح مع طلوع الفجر فلم يُمكِنهم الصلاة حتى ارتفعت الشمس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فكان أنسٌ ﵁ بعد سنين يقول: «ما يسرُّني بتلك الصلاة الدنيا وما فيها»</w:t>
      </w:r>
      <w:r>
        <w:rPr>
          <w:rStyle w:val="FootnoteReference"/>
        </w:rPr>
        <w:footnoteReference w:id="11"/>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فيا معاشرَ الآباء والأمّهات: </w:t>
      </w:r>
      <w:r>
        <w:rPr>
          <w:rFonts w:ascii="Traditional Arabic" w:cs="Traditional Arabic" w:eastAsia="Traditional Arabic" w:hAnsi="Traditional Arabic"/>
          <w:b/>
          <w:bCs/>
          <w:i w:val="false"/>
          <w:iCs w:val="false"/>
          <w:sz w:val="28"/>
          <w:szCs w:val="28"/>
          <w:rtl/>
        </w:rPr>
        <w:t xml:space="preserve">حدِّثني عن منزلة الصلاة في يومك، وعن صلاة الفجر، وعن صلاة أبنائك وبناتك — فإنّك مسؤولٌ عنها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أسأل اللهَ أن يجعلنا ممّن يُعظِّمون الصلاةَ حقَّ التعظيم، وأن يرزقنا صلاةً في المسجد الأقصى وقد حُرِّر وطُهِّر</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ترجمته عند البيهقي في «مناقب الشافعي» والذهبي في «السير». وأمّا العددُ الذي يُتداول فلم أقف على إسنادٍ يثبته، فيُذكر مطلقًا.</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(١٥٣١) والنسائي وابن ماجه من حديث أوس بن أوس ﵁، وصحّحه الألباني في «صحيح أبي داود» (١٣٦٩) و«صحيح الجامع» (١٢٠٩).</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أحمد (١/٢١٤) والنسائي في «عمل اليوم والليلة» وابن ماجه من حديث ابن عباس ﵄، وصحّحه الألباني في «السلسلة الصحيحة» (١٣٩) و«صحيح الجامع» (٧٩٠).</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أخبارُ تأدُّب السلف مع الحديث في «الجامع لأخلاق الراوي وآداب السامع» للخطيب البغدادي، و«سير أعلام النبلاء» للذهبي. وهي من أخبار التراجم لا من المرفوع.</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(٣١٣١) وابن حبان من حديث أنسٍ ﵁ في قصّة الإسراء. وقد ضعّف الألباني هذه الزيادةَ بخصوصها، وصحّح أصلَ حديث الإسراء؛ فتُذكر على أنّها ممّا ورد في السِّيَر لا ممّا يُحتَجُّ به.</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يُذكر في بعض كتب السِّيَر والتفسير عند قصّة الإسراء، ولم أقف على إسنادٍ صحيحٍ يثبت به، ولا هو من حديث أبي سفيان الذي في «الصحيحين» في قصّة هرقل. فيُذكر على أنّه ممّا نُقل في السِّيَر لا ممّا يُحتَجُّ به، والأصلُ في الباب سورةُ الإسراء وأحاديثُ الصحيحين.</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أبو داود (٤٨٧٨) وأحمد من حديث أنسٍ ﵁، وصحّحه الألباني في «صحيح أبي داود» (٤٠٨٤) و«صحيح الجامع» (٥٢٤٣).</w:t>
      </w:r>
    </w:p>
  </w:footnote>
  <w:footnote w:id="9">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الحاكم وابن إسحاق وغيرهما في قصّة الإسراء، وأصلُ تصديق أبي بكرٍ ﵁ مشهورٌ في كتب السِّيَر. ولم أقف على تصحيحه بهذا اللفظ في كتب الشيخ الألباني الحاضرة في المكتبة، فيُذكر مع التنبيه.</w:t>
      </w:r>
    </w:p>
  </w:footnote>
  <w:footnote w:id="10">
    <w:p>
      <w:pPr>
        <w:bidi/>
        <w:jc w:val="right"/>
      </w:pPr>
      <w:r>
        <w:rPr>
          <w:rStyle w:val="FootnoteReference"/>
        </w:rPr>
        <w:footnoteRef/>
      </w:r>
      <w:r>
        <w:rPr>
          <w:rFonts w:ascii="Traditional Arabic" w:cs="Traditional Arabic" w:eastAsia="Traditional Arabic" w:hAnsi="Traditional Arabic"/>
          <w:sz w:val="20"/>
          <w:szCs w:val="20"/>
          <w:rtl/>
        </w:rPr>
        <w:t xml:space="preserve">من لطائف أهل السِّيَر في «الروض الأُنُف» للسُّهيليّ، وهو من باب الاستنباط والتأمّل لا من باب النقل المرفوع.</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أثرٌ مشهور عن أنسٍ ﵁ في وقعة تُسْتَر، ذكره ابن جرير الطبري في «تاريخه» وابن كثير في «البداية والنهاية». وهو من أخبار الفتوح لا من المرفوع.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الإسراءُ والمعراج — الصلاة والأقصى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2026-08-01T18:11:08.723Z</dcterms:created>
  <dcterms:modified xsi:type="dcterms:W3CDTF">2026-08-01T18:11:08.723Z</dcterms:modified>
</cp:coreProperties>
</file>

<file path=docProps/custom.xml><?xml version="1.0" encoding="utf-8"?>
<Properties xmlns="http://schemas.openxmlformats.org/officeDocument/2006/custom-properties" xmlns:vt="http://schemas.openxmlformats.org/officeDocument/2006/docPropsVTypes"/>
</file>