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الإيمانُ وأثرُه في سلوك الإنسان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أربعةُ آثارٍ إن غابت فالإيمانُ في خطر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معاشرَ الموحّدين: </w:t>
      </w:r>
      <w:r>
        <w:rPr>
          <w:rFonts w:ascii="Traditional Arabic" w:cs="Traditional Arabic" w:eastAsia="Traditional Arabic" w:hAnsi="Traditional Arabic"/>
          <w:b/>
          <w:bCs/>
          <w:i w:val="false"/>
          <w:iCs w:val="false"/>
          <w:sz w:val="28"/>
          <w:szCs w:val="28"/>
          <w:rtl/>
        </w:rPr>
        <w:t xml:space="preserve">اعلموا أنّ القلوبَ لن تبلغَ مُناها حتى تصلَ إلى مولاها، ولن تصلَ إلى مولاها حتى تكون سليمة، ولن تكون سليمةً حتى يصحَّ إيمانُها، ولن يصحَّ إيمانُها حتى يسلَمَ لها توحيدُها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والإيمانُ: </w:t>
      </w:r>
      <w:r>
        <w:rPr>
          <w:rFonts w:ascii="Traditional Arabic" w:cs="Traditional Arabic" w:eastAsia="Traditional Arabic" w:hAnsi="Traditional Arabic"/>
          <w:b/>
          <w:bCs/>
          <w:i w:val="false"/>
          <w:iCs w:val="false"/>
          <w:sz w:val="28"/>
          <w:szCs w:val="28"/>
          <w:rtl/>
        </w:rPr>
        <w:t xml:space="preserve">اعتقادٌ جازمٌ بأنّ اللهَ ربُّ كلِّ شيءٍ ومليكُه وخالقُه، وأنّه وحدَه المستحقُّ للعبادة، وأنّ له صفاتِ الكمال ونعوتَ الجلال، تعالى عن النقص سبحانه</w:t>
      </w:r>
      <w:r>
        <w:rPr>
          <w:rFonts w:ascii="Traditional Arabic" w:cs="Traditional Arabic" w:eastAsia="Traditional Arabic" w:hAnsi="Traditional Arabic"/>
          <w:b w:val="false"/>
          <w:bCs w:val="false"/>
          <w:i w:val="false"/>
          <w:iCs w:val="false"/>
          <w:sz w:val="28"/>
          <w:szCs w:val="28"/>
          <w:rtl/>
        </w:rPr>
        <w:t xml:space="preserve">. ولمّا كان الإيمانُ اعتقادًا بالجَنان، وقولًا باللسان، وعملًا بالجوارح والأركان — </w:t>
      </w:r>
      <w:r>
        <w:rPr>
          <w:rFonts w:ascii="Traditional Arabic" w:cs="Traditional Arabic" w:eastAsia="Traditional Arabic" w:hAnsi="Traditional Arabic"/>
          <w:b/>
          <w:bCs/>
          <w:i w:val="false"/>
          <w:iCs w:val="false"/>
          <w:sz w:val="28"/>
          <w:szCs w:val="28"/>
          <w:rtl/>
        </w:rPr>
        <w:t xml:space="preserve">كان لا بدّ أن يظهر أثرُه على سلوك الإنسان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الأثر الأول: التحرُّرُ من العبوديّة لغير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فمَن حقّق التوحيدَ عاش حُرًّا: </w:t>
      </w:r>
      <w:r>
        <w:rPr>
          <w:rFonts w:ascii="Traditional Arabic" w:cs="Traditional Arabic" w:eastAsia="Traditional Arabic" w:hAnsi="Traditional Arabic"/>
          <w:b/>
          <w:bCs/>
          <w:i w:val="false"/>
          <w:iCs w:val="false"/>
          <w:sz w:val="28"/>
          <w:szCs w:val="28"/>
          <w:rtl/>
        </w:rPr>
        <w:t xml:space="preserve">تحرّر من العبوديّة لشهوته، ومن العبوديّة للأوثان والطواغيت وجميع المعبودات من دون الله</w:t>
      </w:r>
      <w:r>
        <w:rPr>
          <w:rFonts w:ascii="Traditional Arabic" w:cs="Traditional Arabic" w:eastAsia="Traditional Arabic" w:hAnsi="Traditional Arabic"/>
          <w:b w:val="false"/>
          <w:bCs w:val="false"/>
          <w:i w:val="false"/>
          <w:iCs w:val="false"/>
          <w:sz w:val="28"/>
          <w:szCs w:val="28"/>
          <w:rtl/>
        </w:rPr>
        <w:t xml:space="preserve">. وأمّا مَن زعم أنّه تحرّر من «قيود الإيمان» فثِقْ </w:t>
      </w:r>
      <w:r>
        <w:rPr>
          <w:rFonts w:ascii="Traditional Arabic" w:cs="Traditional Arabic" w:eastAsia="Traditional Arabic" w:hAnsi="Traditional Arabic"/>
          <w:b/>
          <w:bCs/>
          <w:i w:val="false"/>
          <w:iCs w:val="false"/>
          <w:sz w:val="28"/>
          <w:szCs w:val="28"/>
          <w:rtl/>
        </w:rPr>
        <w:t xml:space="preserve">أنّه عاش عبدًا للدنيا، عبدًا لشهوته، عبدًا لدرهمه ودينارِه</w:t>
      </w:r>
      <w:r>
        <w:rPr>
          <w:rFonts w:ascii="Traditional Arabic" w:cs="Traditional Arabic" w:eastAsia="Traditional Arabic" w:hAnsi="Traditional Arabic"/>
          <w:b w:val="false"/>
          <w:bCs w:val="false"/>
          <w:i w:val="false"/>
          <w:iCs w:val="false"/>
          <w:sz w:val="28"/>
          <w:szCs w:val="28"/>
          <w:rtl/>
        </w:rPr>
        <w:t xml:space="preserve">؛ وصدق ﷺ: </w:t>
      </w:r>
      <w:r>
        <w:rPr>
          <w:rFonts w:ascii="Traditional Arabic" w:cs="Traditional Arabic" w:eastAsia="Traditional Arabic" w:hAnsi="Traditional Arabic"/>
          <w:b/>
          <w:bCs/>
          <w:i w:val="false"/>
          <w:iCs w:val="false"/>
          <w:sz w:val="28"/>
          <w:szCs w:val="28"/>
          <w:rtl/>
        </w:rPr>
        <w:t xml:space="preserve">«تَعِسَ عبدُ الدينار، تَعِسَ عبدُ الدرهم، تَعِسَ عبدُ الخَمِيصة، تَعِسَ عبدُ الخَمِيلة؛ تَعِسَ وانتكس، وإذا شِيكَ فلا انتقَش»</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وتأمّلوا سحرةَ فرعون: </w:t>
      </w:r>
      <w:r>
        <w:rPr>
          <w:rFonts w:ascii="Traditional Arabic" w:cs="Traditional Arabic" w:eastAsia="Traditional Arabic" w:hAnsi="Traditional Arabic"/>
          <w:b/>
          <w:bCs/>
          <w:i w:val="false"/>
          <w:iCs w:val="false"/>
          <w:sz w:val="28"/>
          <w:szCs w:val="28"/>
          <w:rtl/>
        </w:rPr>
        <w:t xml:space="preserve">في الضحى كانوا مع الفجرة، وفي المساء صاروا مع البررة السَّفَرة الكرام!</w:t>
      </w:r>
      <w:r>
        <w:rPr>
          <w:rFonts w:ascii="Traditional Arabic" w:cs="Traditional Arabic" w:eastAsia="Traditional Arabic" w:hAnsi="Traditional Arabic"/>
          <w:b w:val="false"/>
          <w:bCs w:val="false"/>
          <w:i w:val="false"/>
          <w:iCs w:val="false"/>
          <w:sz w:val="28"/>
          <w:szCs w:val="28"/>
          <w:rtl/>
        </w:rPr>
        <w:t xml:space="preserve"> فما الذي نقلهم؟ </w:t>
      </w:r>
      <w:r>
        <w:rPr>
          <w:rFonts w:ascii="Traditional Arabic" w:cs="Traditional Arabic" w:eastAsia="Traditional Arabic" w:hAnsi="Traditional Arabic"/>
          <w:b/>
          <w:bCs/>
          <w:i w:val="false"/>
          <w:iCs w:val="false"/>
          <w:sz w:val="28"/>
          <w:szCs w:val="28"/>
          <w:rtl/>
        </w:rPr>
        <w:t xml:space="preserve">إنّه التحرُّرُ من عبوديّة الطواغيت</w:t>
      </w:r>
      <w:r>
        <w:rPr>
          <w:rFonts w:ascii="Traditional Arabic" w:cs="Traditional Arabic" w:eastAsia="Traditional Arabic" w:hAnsi="Traditional Arabic"/>
          <w:b w:val="false"/>
          <w:bCs w:val="false"/>
          <w:i w:val="false"/>
          <w:iCs w:val="false"/>
          <w:sz w:val="28"/>
          <w:szCs w:val="28"/>
          <w:rtl/>
        </w:rPr>
        <w:t xml:space="preserve">. وفي ذلك يقول الناظم:</w:t>
      </w:r>
    </w:p>
    <w:p>
      <w:pPr>
        <w:bidi/>
        <w:spacing w:after="130" w:line="365"/>
        <w:jc w:val="center"/>
      </w:pPr>
      <w:r>
        <w:rPr>
          <w:rFonts w:ascii="Traditional Arabic" w:cs="Traditional Arabic" w:eastAsia="Traditional Arabic" w:hAnsi="Traditional Arabic"/>
          <w:b/>
          <w:bCs/>
          <w:i w:val="false"/>
          <w:iCs w:val="false"/>
          <w:sz w:val="28"/>
          <w:szCs w:val="28"/>
          <w:rtl/>
        </w:rPr>
        <w:t xml:space="preserve">ومِمّا زادَني شَرَفًا وتِيهًا ••• وكِدْتُ بأخْمَصي أَطَأُ الثُّرَيّا
دُخولي تَحتَ قَولِكَ يا عِبادي ••• وأنْ صيَّرْتَ أحمدَ لي نَبيّا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الأثر الثاني: الأمنُ والطمأنينة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فالمؤمنُ يعيش حياتَه — في الضنك والأوبئة والقلق — بطمأنينةٍ وسلام: </w:t>
      </w:r>
      <w:r>
        <w:rPr>
          <w:rFonts w:ascii="Traditional Arabic" w:cs="Traditional Arabic" w:eastAsia="Traditional Arabic" w:hAnsi="Traditional Arabic"/>
          <w:b/>
          <w:bCs/>
          <w:i w:val="false"/>
          <w:iCs w:val="false"/>
          <w:sz w:val="28"/>
          <w:szCs w:val="28"/>
          <w:rtl/>
        </w:rPr>
        <w:t xml:space="preserve">﴿الَّذِينَ آمَنُوا وَلَمْ يَلْبِسُوا إِيمَانَهُم بِظُلْمٍ أُولَٰئِكَ لَهُمُ الْأَمْنُ﴾</w:t>
      </w:r>
      <w:r>
        <w:rPr>
          <w:rFonts w:ascii="Traditional Arabic" w:cs="Traditional Arabic" w:eastAsia="Traditional Arabic" w:hAnsi="Traditional Arabic"/>
          <w:b w:val="false"/>
          <w:bCs w:val="false"/>
          <w:i w:val="false"/>
          <w:iCs w:val="false"/>
          <w:sz w:val="28"/>
          <w:szCs w:val="28"/>
          <w:rtl/>
        </w:rPr>
        <w:t xml:space="preserve">. وأمّا مَن تعلّق بغير الله من أوهامٍ وأحجارٍ وطواغيت، أو </w:t>
      </w:r>
      <w:r>
        <w:rPr>
          <w:rFonts w:ascii="Traditional Arabic" w:cs="Traditional Arabic" w:eastAsia="Traditional Arabic" w:hAnsi="Traditional Arabic"/>
          <w:b/>
          <w:bCs/>
          <w:i w:val="false"/>
          <w:iCs w:val="false"/>
          <w:sz w:val="28"/>
          <w:szCs w:val="28"/>
          <w:rtl/>
        </w:rPr>
        <w:t xml:space="preserve">بأسبابٍ يعتقدها نافعةً بذاتها</w:t>
      </w:r>
      <w:r>
        <w:rPr>
          <w:rFonts w:ascii="Traditional Arabic" w:cs="Traditional Arabic" w:eastAsia="Traditional Arabic" w:hAnsi="Traditional Arabic"/>
          <w:b w:val="false"/>
          <w:bCs w:val="false"/>
          <w:i w:val="false"/>
          <w:iCs w:val="false"/>
          <w:sz w:val="28"/>
          <w:szCs w:val="28"/>
          <w:rtl/>
        </w:rPr>
        <w:t xml:space="preserve"> — فسيعيش في قلقٍ واضطراب؛ </w:t>
      </w:r>
      <w:r>
        <w:rPr>
          <w:rFonts w:ascii="Traditional Arabic" w:cs="Traditional Arabic" w:eastAsia="Traditional Arabic" w:hAnsi="Traditional Arabic"/>
          <w:b/>
          <w:bCs/>
          <w:i w:val="false"/>
          <w:iCs w:val="false"/>
          <w:sz w:val="28"/>
          <w:szCs w:val="28"/>
          <w:rtl/>
        </w:rPr>
        <w:t xml:space="preserve">﴿وَأَنَّهُ كَانَ رِجَالٌ مِّنَ الْإِنسِ يَعُوذُونَ بِرِجَالٍ مِّنَ الْجِنِّ فَزَادُوهُمْ رَهَقًا﴾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ولذلك قال ﷺ: </w:t>
      </w:r>
      <w:r>
        <w:rPr>
          <w:rFonts w:ascii="Traditional Arabic" w:cs="Traditional Arabic" w:eastAsia="Traditional Arabic" w:hAnsi="Traditional Arabic"/>
          <w:b/>
          <w:bCs/>
          <w:i w:val="false"/>
          <w:iCs w:val="false"/>
          <w:sz w:val="28"/>
          <w:szCs w:val="28"/>
          <w:rtl/>
        </w:rPr>
        <w:t xml:space="preserve">«لا عَدْوى ولا طِيَرةَ ولا هامةَ ولا صَفَر»</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لا جهلًا منه بوجود العدوى — حاشاه — ولكن لمّا رأى تعلُّقَ القلوب بالأسباب من دون الله أراد أن يهدم شركًا يتسلّل إلى القلوب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فخُذْ بالأسباب، ولكن اعتقِدْ أنّها لا تضرُّ ولا تنفع بذاتها؛ «فمَن أعدى الأوّل؟»</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الأثر الثالث: البُعدُ عن الذنوب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وما علاقةُ الذنب بالإيمان؟ </w:t>
      </w:r>
      <w:r>
        <w:rPr>
          <w:rFonts w:ascii="Traditional Arabic" w:cs="Traditional Arabic" w:eastAsia="Traditional Arabic" w:hAnsi="Traditional Arabic"/>
          <w:b/>
          <w:bCs/>
          <w:i w:val="false"/>
          <w:iCs w:val="false"/>
          <w:sz w:val="28"/>
          <w:szCs w:val="28"/>
          <w:rtl/>
        </w:rPr>
        <w:t xml:space="preserve">تأمّلْ كيف ربط النبيُّ ﷺ كمالَ الإيمان ببُعدك عن المعصية</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«لا يزني الزاني حين يزني وهو مؤمن، ولا يسرق السارقُ حين يسرق وهو مؤمن»</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فإن زعمتَ أنّك مؤمنٌ حقَّ الإيمان ثم اغتبتَ وشربتَ وهتكتَ الأستار — فأحسن اللهُ عزاءك في إيمانك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﴿قَالَتِ الْأَعْرَابُ آمَنَّا ۖ قُل لَّمْ تُؤْمِنُوا وَلَٰكِن قُولُوا أَسْلَمْنَا وَلَمَّا يَدْخُلِ الْإِيمَانُ فِي قُلُوبِكُمْ﴾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الأثر الرابع: الإحسانُ إلى الخلق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فالمؤمنُ حقًّا مَن أدّى حقَّ الله وحقَّ خلقه. </w:t>
      </w:r>
      <w:r>
        <w:rPr>
          <w:rFonts w:ascii="Traditional Arabic" w:cs="Traditional Arabic" w:eastAsia="Traditional Arabic" w:hAnsi="Traditional Arabic"/>
          <w:b/>
          <w:bCs/>
          <w:i w:val="false"/>
          <w:iCs w:val="false"/>
          <w:sz w:val="28"/>
          <w:szCs w:val="28"/>
          <w:rtl/>
        </w:rPr>
        <w:t xml:space="preserve">وتأمّلْ كم مرّةً نفى النبيُّ ﷺ الإيمانَ عمّن قصّر في حقّ المخلوق</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«لا يؤمنُ أحدُكم حتى يُحبَّ لأخيه ما يُحبُّ لنفسه»</w:t>
      </w:r>
      <w:r>
        <w:rPr>
          <w:rFonts w:ascii="Traditional Arabic" w:cs="Traditional Arabic" w:eastAsia="Traditional Arabic" w:hAnsi="Traditional Arabic"/>
          <w:b w:val="false"/>
          <w:bCs w:val="false"/>
          <w:i w:val="false"/>
          <w:iCs w:val="false"/>
          <w:sz w:val="28"/>
          <w:szCs w:val="28"/>
          <w:rtl/>
        </w:rPr>
        <w:t xml:space="preserve"> — متفقٌ عليه؛ </w:t>
      </w:r>
      <w:r>
        <w:rPr>
          <w:rFonts w:ascii="Traditional Arabic" w:cs="Traditional Arabic" w:eastAsia="Traditional Arabic" w:hAnsi="Traditional Arabic"/>
          <w:b/>
          <w:bCs/>
          <w:i w:val="false"/>
          <w:iCs w:val="false"/>
          <w:sz w:val="28"/>
          <w:szCs w:val="28"/>
          <w:rtl/>
        </w:rPr>
        <w:t xml:space="preserve">«ليس المؤمنُ الذي لا يأمنُ جارُه بوائقَه»</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«لا إيمانَ لمن لا أمانةَ له»</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«ليس المؤمنُ الذي يشبعُ وجارُه جائعٌ إلى جنبه»</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فأحاديثُ كثيرةٌ كلُّها </w:t>
      </w:r>
      <w:r>
        <w:rPr>
          <w:rFonts w:ascii="Traditional Arabic" w:cs="Traditional Arabic" w:eastAsia="Traditional Arabic" w:hAnsi="Traditional Arabic"/>
          <w:b/>
          <w:bCs/>
          <w:i w:val="false"/>
          <w:iCs w:val="false"/>
          <w:sz w:val="28"/>
          <w:szCs w:val="28"/>
          <w:rtl/>
        </w:rPr>
        <w:t xml:space="preserve">نفَتِ الإيمانَ الكاملَ عمّن قصّر في حقّ المخلوق</w:t>
      </w:r>
      <w:r>
        <w:rPr>
          <w:rFonts w:ascii="Traditional Arabic" w:cs="Traditional Arabic" w:eastAsia="Traditional Arabic" w:hAnsi="Traditional Arabic"/>
          <w:b w:val="false"/>
          <w:bCs w:val="false"/>
          <w:i w:val="false"/>
          <w:iCs w:val="false"/>
          <w:sz w:val="28"/>
          <w:szCs w:val="28"/>
          <w:rtl/>
        </w:rPr>
        <w:t xml:space="preserve">. فإن زعمتَ أنّك تُصلّي وتصوم وتتصدّق — </w:t>
      </w:r>
      <w:r>
        <w:rPr>
          <w:rFonts w:ascii="Traditional Arabic" w:cs="Traditional Arabic" w:eastAsia="Traditional Arabic" w:hAnsi="Traditional Arabic"/>
          <w:b/>
          <w:bCs/>
          <w:i w:val="false"/>
          <w:iCs w:val="false"/>
          <w:sz w:val="28"/>
          <w:szCs w:val="28"/>
          <w:rtl/>
        </w:rPr>
        <w:t xml:space="preserve">ولكنّك تُؤذي الناس، ولا تُؤدّي حقَّ والدٍ ولا رحمٍ ولا جارٍ ولا عاملٍ — فأحسن اللهُ عزاءك؛ ليس إيمانُك إيمانًا تامًّا ينفعك يوم القيامة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جعلنا اللهُ وإيّاكم ممّن يُحقّقون التوحيدَ الخالص، ويقدَمون عليه بقلوبٍ سليمة.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(٣٦٦٠) وأحمد من حديث أبي هريرة ﵁، وحسّنه الألباني في «صحيح الجامع» (١٦١٧) و«السلسلة الصحيحة» (١٥٩٨).</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(٣٦٦٤) وابن ماجه وأحمد من حديث سعد بن عبادة ﵁، وحسّنه الألباني في «صحيح الجامع» (١١١٣) و«صحيح سنن النسائي».</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(٢٤٢) والبيهقي من حديث أبي هريرة ﵁، وحسّنه الألباني في «صحيح الجامع» (٢٢٣١) و«صحيح الترغيب» (٧٧).</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(١٠٧٨) وابن ماجه وأحمد من حديث أبي هريرة ﵁. قال الترمذي: «حسن»، وحسّنه الألباني في «صحيح الجامع» (٦٧٧٩) و«الإرواء» (١٤٢٤).</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(٣٤٦٢) وأحمد والبيهقي من حديث ابن عمر ﵄، وصحّحه الألباني في «السلسلة الصحيحة» (١١) و«صحيح الجامع» (٤٢٣).</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(٤٨٨٤) وأحمد من حديث جابر ﵁ وأبي طلحة ﵁، وحسّنه الألباني في «صحيح الجامع» (٥٦٩٠) و«صحيح الترغيب» (٢٣٢٩).</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رواه الطبراني من حديث طلق بن علي ﵁، وصحّحه الألباني في «صحيح الجامع» (٥٣٨٠)، وأصلُه في «صحيح البخاري» من حديث أبي شريح ﵁: «لا يؤمن — واللهِ لا يؤمن…».</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(٣/١٣٥) وابن حبان من حديث أنسٍ ﵁، وحسّنه الألباني في «صحيح الجامع» (٧١٧٩).</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البخاري في «الأدب المفرد» (١١٢) والطبراني والبيهقي من حديث ابن عباس ﵄، وصحّحه الألباني في «صحيح الأدب المفرد» (٨٢) و«السلسلة الصحيحة» (١٤٩).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الإيمانُ وأثرُه في سلوك الإنسان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2026-08-01T17:50:04.090Z</dcterms:created>
  <dcterms:modified xsi:type="dcterms:W3CDTF">2026-08-01T17:50:04.090Z</dcterms:modified>
</cp:coreProperties>
</file>

<file path=docProps/custom.xml><?xml version="1.0" encoding="utf-8"?>
<Properties xmlns="http://schemas.openxmlformats.org/officeDocument/2006/custom-properties" xmlns:vt="http://schemas.openxmlformats.org/officeDocument/2006/docPropsVTypes"/>
</file>