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الورَعُ والابتعادُ عن الشُّبُهات</w:t>
      </w:r>
    </w:p>
    <w:p>
      <w:pPr>
        <w:spacing w:after="120"/>
      </w:pPr>
      <w:r>
        <w:rPr>
          <w:color w:val="8A6A1F"/>
          <w:sz w:val="36"/>
          <w:szCs w:val="36"/>
        </w:rPr>
        <w:t xml:space="preserve">ما الورَع؟ ومظاهرُ ضعفِه، وصُوَرٌ من ورَعِ السلف</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الاستقامةُ المُزيَّفة</w:t>
      </w:r>
    </w:p>
    <w:p>
      <w:pPr>
        <w:spacing w:after="140" w:line="340" w:lineRule="auto"/>
        <w:jc w:val="both"/>
      </w:pPr>
      <w:r>
        <w:rPr>
          <w:color w:val="1A1A1A"/>
          <w:sz w:val="36"/>
          <w:szCs w:val="36"/>
        </w:rPr>
        <w:t xml:space="preserve">وبعدُ، أحبَّتي في الله: هل سمعتم بالاستقامةِ المُزيَّفة؟ هو مستقيمٌ محافظٌ على فرائضِ الله؛ لكنّه إذا باعَ واشترى أظهرَ الفجور، وإذا أرادَ أن يتكسَّبَ لم يتورَّعْ عن أكلِ الحرام؛ فمَطعَمُه من حرام، ومَشرَبُه من حرام، ويُنيرُ بيتَه بحرام! وإنّا للهِ وإنّا إليه راجعون.</w:t>
      </w:r>
    </w:p>
    <w:p>
      <w:pPr>
        <w:spacing w:after="140" w:line="340" w:lineRule="auto"/>
        <w:jc w:val="both"/>
      </w:pPr>
      <w:r>
        <w:rPr>
          <w:color w:val="1A1A1A"/>
          <w:sz w:val="36"/>
          <w:szCs w:val="36"/>
        </w:rPr>
        <w:t xml:space="preserve">فما الذي أوصلَ هذا المستقيمَ ـ الذي يُحِبُّ اللهَ فيما نحسَب، ويُحافظُ على شعائرِ الإسلام ـ إلى هذه الحال؟ إنه **ضَعفُ الورَع**.</w:t>
      </w:r>
    </w:p>
    <w:p>
      <w:pPr>
        <w:spacing w:after="140" w:line="340" w:lineRule="auto"/>
        <w:jc w:val="both"/>
      </w:pPr>
      <w:r>
        <w:rPr>
          <w:color w:val="1A1A1A"/>
          <w:sz w:val="36"/>
          <w:szCs w:val="36"/>
        </w:rPr>
        <w:t xml:space="preserve">فحديثُنا عن الورَعِ ومظاهرِ ضَعفِه.</w:t>
      </w:r>
    </w:p>
    <w:p>
      <w:pPr>
        <w:spacing w:before="260" w:after="120"/>
      </w:pPr>
      <w:r>
        <w:rPr>
          <w:b/>
          <w:bCs/>
          <w:color w:val="1F5C3A"/>
          <w:sz w:val="36"/>
          <w:szCs w:val="36"/>
        </w:rPr>
        <w:t xml:space="preserve">أولًا: ما الورَع؟</w:t>
      </w:r>
    </w:p>
    <w:p>
      <w:pPr>
        <w:spacing w:after="140" w:line="340" w:lineRule="auto"/>
        <w:jc w:val="both"/>
      </w:pPr>
      <w:r>
        <w:rPr>
          <w:color w:val="1A1A1A"/>
          <w:sz w:val="36"/>
          <w:szCs w:val="36"/>
        </w:rPr>
        <w:t xml:space="preserve">ليس الورَعُ عباءةً يلبَسُها العبد، ولا دموعًا يسكُبُها في محرابِ الصلاة، ولا كثرةَ حجٍّ وعُمرةٍ وصدَقات. إنّ الورَعَ **وازعٌ في قلبِ العبدِ يحمِلُه على تركِ الشُّبُهات، فضلًا عن تركِ المحرَّمات**. وهذا هو الذي مدَحَه ﷺ فقال:</w:t>
      </w:r>
    </w:p>
    <w:p>
      <w:pPr>
        <w:pBdr>
          <w:right w:val="single" w:sz="12" w:space="10" w:color="8A6A1F"/>
        </w:pBdr>
        <w:spacing w:before="120" w:after="160" w:line="320" w:lineRule="auto"/>
        <w:ind w:left="504" w:right="504"/>
        <w:jc w:val="both"/>
      </w:pPr>
      <w:r>
        <w:rPr>
          <w:b/>
          <w:bCs/>
          <w:color w:val="1F5C3A"/>
          <w:sz w:val="36"/>
          <w:szCs w:val="36"/>
        </w:rPr>
        <w:t xml:space="preserve">«خيرُ دينِكمُ الورَع»</w:t>
      </w:r>
      <w:r>
        <w:rPr>
          <w:rStyle w:val="a5"/>
          <w:sz w:val="36"/>
          <w:szCs w:val="36"/>
        </w:rPr>
        <w:footnoteReference w:id="1"/>
      </w:r>
    </w:p>
    <w:p>
      <w:pPr>
        <w:spacing w:after="140" w:line="340" w:lineRule="auto"/>
        <w:jc w:val="both"/>
      </w:pPr>
      <w:r>
        <w:rPr>
          <w:color w:val="1A1A1A"/>
          <w:sz w:val="36"/>
          <w:szCs w:val="36"/>
        </w:rPr>
        <w:t xml:space="preserve">وقال ﷺ لأبي هريرةَ ﵁:</w:t>
      </w:r>
    </w:p>
    <w:p>
      <w:pPr>
        <w:pBdr>
          <w:right w:val="single" w:sz="12" w:space="10" w:color="8A6A1F"/>
        </w:pBdr>
        <w:spacing w:before="120" w:after="160" w:line="320" w:lineRule="auto"/>
        <w:ind w:left="504" w:right="504"/>
        <w:jc w:val="both"/>
      </w:pPr>
      <w:r>
        <w:rPr>
          <w:b/>
          <w:bCs/>
          <w:color w:val="1F5C3A"/>
          <w:sz w:val="36"/>
          <w:szCs w:val="36"/>
        </w:rPr>
        <w:t xml:space="preserve">«كُنْ ورِعًا تكُنْ أعبَدَ الناس»</w:t>
      </w:r>
      <w:r>
        <w:rPr>
          <w:rStyle w:val="a5"/>
          <w:sz w:val="36"/>
          <w:szCs w:val="36"/>
        </w:rPr>
        <w:footnoteReference w:id="2"/>
      </w:r>
    </w:p>
    <w:p>
      <w:pPr>
        <w:spacing w:after="140" w:line="340" w:lineRule="auto"/>
        <w:jc w:val="both"/>
      </w:pPr>
      <w:r>
        <w:rPr>
          <w:color w:val="1A1A1A"/>
          <w:sz w:val="36"/>
          <w:szCs w:val="36"/>
        </w:rPr>
        <w:t xml:space="preserve">فيا من يبحثُ عن رُقيٍّ في معراجِ العبودية، ويبحثُ عن كثرةِ صلاةٍ وصيامٍ وصدَقة: أقولُ لك ـ بعد أدائِك للفرائضِ والواجبات ـ **كُنْ ورِعًا تكُنْ أعبَدَ الناس**؛ لا أن تكونَ ذا سَمْتٍ صالحٍ وأنت فاجرٌ في معاملاتِك.</w:t>
      </w:r>
    </w:p>
    <w:p>
      <w:pPr>
        <w:spacing w:before="260" w:after="120"/>
      </w:pPr>
      <w:r>
        <w:rPr>
          <w:b/>
          <w:bCs/>
          <w:color w:val="1F5C3A"/>
          <w:sz w:val="36"/>
          <w:szCs w:val="36"/>
        </w:rPr>
        <w:t xml:space="preserve">ثانيًا: مظاهرُ ضَعفِ الورَع</w:t>
      </w:r>
    </w:p>
    <w:p>
      <w:pPr>
        <w:spacing w:before="200" w:after="100"/>
      </w:pPr>
      <w:r>
        <w:rPr>
          <w:b/>
          <w:bCs/>
          <w:color w:val="1A1A1A"/>
          <w:sz w:val="36"/>
          <w:szCs w:val="36"/>
        </w:rPr>
        <w:t xml:space="preserve">١) في البيعِ والشراء</w:t>
      </w:r>
    </w:p>
    <w:p>
      <w:pPr>
        <w:spacing w:after="140" w:line="340" w:lineRule="auto"/>
        <w:jc w:val="both"/>
      </w:pPr>
      <w:r>
        <w:rPr>
          <w:color w:val="1A1A1A"/>
          <w:sz w:val="36"/>
          <w:szCs w:val="36"/>
        </w:rPr>
        <w:t xml:space="preserve">فتراه يستخدِمُ كلَّ أساليبِ الغِشِّ والتدليس؛ يموتُ الورَعُ من قلبِ ذلك المصلِّي الذي كان قبل قليلٍ في محرابِ صلاتِه!</w:t>
      </w:r>
    </w:p>
    <w:p>
      <w:pPr>
        <w:spacing w:after="140" w:line="340" w:lineRule="auto"/>
        <w:jc w:val="both"/>
      </w:pPr>
      <w:r>
        <w:rPr>
          <w:color w:val="1A1A1A"/>
          <w:sz w:val="36"/>
          <w:szCs w:val="36"/>
        </w:rPr>
        <w:t xml:space="preserve">فإن أردتَ أن تعرِفَ مقدارَ الورَعِ في قلبِك فانظُرْ إلى حالِك إذا بِعتَ واشتريت. وفي </w:t>
      </w:r>
      <w:r>
        <w:rPr>
          <w:b/>
          <w:bCs/>
          <w:color w:val="1F5C3A"/>
          <w:sz w:val="36"/>
          <w:szCs w:val="36"/>
        </w:rPr>
        <w:t xml:space="preserve">«الصحيحين»</w:t>
      </w:r>
      <w:r>
        <w:rPr>
          <w:color w:val="1A1A1A"/>
          <w:sz w:val="36"/>
          <w:szCs w:val="36"/>
        </w:rPr>
        <w:t xml:space="preserve"> يقولُ ﷺ:</w:t>
      </w:r>
    </w:p>
    <w:p>
      <w:pPr>
        <w:pBdr>
          <w:right w:val="single" w:sz="12" w:space="10" w:color="8A6A1F"/>
        </w:pBdr>
        <w:spacing w:before="120" w:after="160" w:line="320" w:lineRule="auto"/>
        <w:ind w:left="504" w:right="504"/>
        <w:jc w:val="both"/>
      </w:pPr>
      <w:r>
        <w:rPr>
          <w:b/>
          <w:bCs/>
          <w:color w:val="1F5C3A"/>
          <w:sz w:val="36"/>
          <w:szCs w:val="36"/>
        </w:rPr>
        <w:t xml:space="preserve">«اشترى رجلٌ من رجلٍ عَقارًا له، فوجدَ الرجلُ الذي اشترى العَقارَ في عَقارِه جَرَّةً فيها ذهب. فقال له: خُذْ ذهبَك مني، إنما اشتريتُ منك الأرضَ ولم أَبتَعْ منك الذهب. وقال الذي له الأرض: إنما بِعتُك الأرضَ وما فيها. فتحاكَما إلى رجل، فقال: أَلَكما ولد؟ قال أحدُهما: لي غلام، وقال الآخَر: لي جارية. قال: أَنكِحوا الغلامَ الجاريةَ وأَنفِقوا على أنفسِهما منه وتصدَّقا»</w:t>
      </w:r>
      <w:r>
        <w:rPr>
          <w:rStyle w:val="a5"/>
          <w:sz w:val="36"/>
          <w:szCs w:val="36"/>
        </w:rPr>
        <w:footnoteReference w:id="3"/>
      </w:r>
    </w:p>
    <w:p>
      <w:pPr>
        <w:spacing w:after="140" w:line="340" w:lineRule="auto"/>
        <w:jc w:val="both"/>
      </w:pPr>
      <w:r>
        <w:rPr>
          <w:color w:val="1A1A1A"/>
          <w:sz w:val="36"/>
          <w:szCs w:val="36"/>
        </w:rPr>
        <w:t xml:space="preserve">هذا هو الورَع! فأنت أيها التاجر: حين يأتيك المشتري، أَتنظُرُ إليه بمنظارِ النصيحةِ ومحبَّةِ الخيرِ له؟ فأَبشِرْ بورَعٍ سكنَ سُوَيداءَ قلبِك. أم تنظُرُ إليه فريسةً؟ فأَحسَنَ اللهُ عزاءَك في ورَعِك.</w:t>
      </w:r>
    </w:p>
    <w:p>
      <w:pPr>
        <w:spacing w:before="200" w:after="100"/>
      </w:pPr>
      <w:r>
        <w:rPr>
          <w:b/>
          <w:bCs/>
          <w:color w:val="1A1A1A"/>
          <w:sz w:val="36"/>
          <w:szCs w:val="36"/>
        </w:rPr>
        <w:t xml:space="preserve">٢) في عدمِ أداءِ الحقوق</w:t>
      </w:r>
    </w:p>
    <w:p>
      <w:pPr>
        <w:spacing w:after="140" w:line="340" w:lineRule="auto"/>
        <w:jc w:val="both"/>
      </w:pPr>
      <w:r>
        <w:rPr>
          <w:color w:val="1A1A1A"/>
          <w:sz w:val="36"/>
          <w:szCs w:val="36"/>
        </w:rPr>
        <w:t xml:space="preserve">أيها الموظَّفُ والعاملُ والمديرُ والمسؤول: ما مقدارُ أدائِك للحقوقِ التي أوجبَها اللهُ في عُنُقِك؟ وفي </w:t>
      </w:r>
      <w:r>
        <w:rPr>
          <w:b/>
          <w:bCs/>
          <w:color w:val="1F5C3A"/>
          <w:sz w:val="36"/>
          <w:szCs w:val="36"/>
        </w:rPr>
        <w:t xml:space="preserve">«صحيح البخاري»</w:t>
      </w:r>
      <w:r>
        <w:rPr>
          <w:color w:val="1A1A1A"/>
          <w:sz w:val="36"/>
          <w:szCs w:val="36"/>
        </w:rPr>
        <w:t xml:space="preserve"> في حديث الثلاثةِ الذين انطبقَتْ عليهم الصخرةُ في الغار، قال أحدُهم:</w:t>
      </w:r>
    </w:p>
    <w:p>
      <w:pPr>
        <w:pBdr>
          <w:right w:val="single" w:sz="12" w:space="10" w:color="8A6A1F"/>
        </w:pBdr>
        <w:spacing w:before="120" w:after="160" w:line="320" w:lineRule="auto"/>
        <w:ind w:left="504" w:right="504"/>
        <w:jc w:val="both"/>
      </w:pPr>
      <w:r>
        <w:rPr>
          <w:b/>
          <w:bCs/>
          <w:color w:val="1F5C3A"/>
          <w:sz w:val="36"/>
          <w:szCs w:val="36"/>
        </w:rPr>
        <w:t xml:space="preserve">«اللهم إنه كان لي أُجَراءُ، فأعطيتُهم أجرَهم غيرَ رجلٍ واحدٍ ترَكَ الذي له وذهب؛ فثمَّرتُ أجرَه حتى كثُرَتْ منه الأموال. فجاءني بعد حينٍ فقال: يا عبدَ الله، أَدِّ إليَّ أجري. فقلتُ: كلُّ ما ترى من أجرِك: من الإبلِ والبقرِ والغنمِ والرقيق. فقال: يا عبدَ الله، لا تستهزِئْ بي! فقلتُ: إني لا أستهزِئُ بك. فأخذَه كلَّه فاستاقَه فلم يترُكْ منه شيئًا»</w:t>
      </w:r>
      <w:r>
        <w:rPr>
          <w:rStyle w:val="a5"/>
          <w:sz w:val="36"/>
          <w:szCs w:val="36"/>
        </w:rPr>
        <w:footnoteReference w:id="4"/>
      </w:r>
    </w:p>
    <w:p>
      <w:pPr>
        <w:spacing w:after="140" w:line="340" w:lineRule="auto"/>
        <w:jc w:val="both"/>
      </w:pPr>
      <w:r>
        <w:rPr>
          <w:color w:val="1A1A1A"/>
          <w:sz w:val="36"/>
          <w:szCs w:val="36"/>
        </w:rPr>
        <w:t xml:space="preserve">فأينَ نحن من هؤلاء؟ أين الموظَّفُ الحريصُ أشدَّ الحرصِ على أن يُقصِّرَ في عملِه؟ أين من يأكُلُ ميراثَ أختِه؟</w:t>
      </w:r>
    </w:p>
    <w:p>
      <w:pPr>
        <w:spacing w:before="200" w:after="100"/>
      </w:pPr>
      <w:r>
        <w:rPr>
          <w:b/>
          <w:bCs/>
          <w:color w:val="1A1A1A"/>
          <w:sz w:val="36"/>
          <w:szCs w:val="36"/>
        </w:rPr>
        <w:t xml:space="preserve">٣) في أكلِ الحرام</w:t>
      </w:r>
    </w:p>
    <w:p>
      <w:pPr>
        <w:spacing w:after="140" w:line="340" w:lineRule="auto"/>
        <w:jc w:val="both"/>
      </w:pPr>
      <w:r>
        <w:rPr>
          <w:color w:val="1A1A1A"/>
          <w:sz w:val="36"/>
          <w:szCs w:val="36"/>
        </w:rPr>
        <w:t xml:space="preserve">فإذا أردتَ أن تعرِفَ ورَعَ الناسِ فانظُرْ إلى أكلِهم للحرام: الربا، والبيوعِ المحرَّمة، وأكلِ المالِ العامِّ والخاصّ. فإن كنتَ لا تتورَّعُ عن ذلك فقد ماتَ الورَعُ في قلبِك.</w:t>
      </w:r>
    </w:p>
    <w:p>
      <w:pPr>
        <w:spacing w:after="140" w:line="340" w:lineRule="auto"/>
        <w:jc w:val="both"/>
      </w:pPr>
      <w:r>
        <w:rPr>
          <w:color w:val="1A1A1A"/>
          <w:sz w:val="36"/>
          <w:szCs w:val="36"/>
        </w:rPr>
        <w:t xml:space="preserve">وقد بلغَ من ورَعِ نبيِّكم ﷺ قولُه:</w:t>
      </w:r>
    </w:p>
    <w:p>
      <w:pPr>
        <w:pBdr>
          <w:right w:val="single" w:sz="12" w:space="10" w:color="8A6A1F"/>
        </w:pBdr>
        <w:spacing w:before="120" w:after="160" w:line="320" w:lineRule="auto"/>
        <w:ind w:left="504" w:right="504"/>
        <w:jc w:val="both"/>
      </w:pPr>
      <w:r>
        <w:rPr>
          <w:b/>
          <w:bCs/>
          <w:color w:val="1F5C3A"/>
          <w:sz w:val="36"/>
          <w:szCs w:val="36"/>
        </w:rPr>
        <w:t xml:space="preserve">«إني لَأنقلِبُ إلى أهلي فأجِدُ التمرةَ ساقطةً على فراشي، فأرفعُها لآكُلَها، ثم أخشى أن تكونَ صدقةً فأُلقيها»</w:t>
      </w:r>
      <w:r>
        <w:rPr>
          <w:rStyle w:val="a5"/>
          <w:sz w:val="36"/>
          <w:szCs w:val="36"/>
        </w:rPr>
        <w:footnoteReference w:id="5"/>
      </w:r>
    </w:p>
    <w:p>
      <w:pPr>
        <w:spacing w:after="140" w:line="340" w:lineRule="auto"/>
        <w:jc w:val="both"/>
      </w:pPr>
      <w:r>
        <w:rPr>
          <w:color w:val="1A1A1A"/>
          <w:sz w:val="36"/>
          <w:szCs w:val="36"/>
        </w:rPr>
        <w:t xml:space="preserve">وهذا أبو بكرٍ ﵁ ـ كما في </w:t>
      </w:r>
      <w:r>
        <w:rPr>
          <w:b/>
          <w:bCs/>
          <w:color w:val="1F5C3A"/>
          <w:sz w:val="36"/>
          <w:szCs w:val="36"/>
        </w:rPr>
        <w:t xml:space="preserve">«صحيح البخاري»</w:t>
      </w:r>
      <w:r>
        <w:rPr>
          <w:color w:val="1A1A1A"/>
          <w:sz w:val="36"/>
          <w:szCs w:val="36"/>
        </w:rPr>
        <w:t xml:space="preserve"> ـ كان له غلامٌ يُخرِجُ له الخَراج، فأتاه ليلةً بشيءٍ فأكلَ منه، فقال الغلام: أتدري ما هذا؟ تكهَّنتُ لإنسانٍ في الجاهليةِ وما أُحسِنُ الكهانةَ إلا أني خدَعتُه، فلقيَني فأعطاني لذلك. فأدخلَ أبو بكرٍ يدَه فقاءَ كلَّ شيءٍ في بطنِه.</w:t>
      </w:r>
      <w:r>
        <w:rPr>
          <w:rStyle w:val="a5"/>
          <w:sz w:val="36"/>
          <w:szCs w:val="36"/>
        </w:rPr>
        <w:footnoteReference w:id="6"/>
      </w:r>
    </w:p>
    <w:p>
      <w:pPr>
        <w:spacing w:after="140" w:line="340" w:lineRule="auto"/>
        <w:jc w:val="both"/>
      </w:pPr>
      <w:r>
        <w:rPr>
          <w:color w:val="1A1A1A"/>
          <w:sz w:val="36"/>
          <w:szCs w:val="36"/>
        </w:rPr>
        <w:t xml:space="preserve">وأمّا عمرُ ﵁ فيُروى أنّ غلامًا من غِلمانِه أعطى ابنًا لعمرَ درهمًا من بيتِ المال؛ فلمّا رآه عمرُ استردَّه وقال: أتُريدُ أن تُخاصِمَني أمَّةُ محمدٍ ﷺ في هذا الدرهمِ يومَ القيامة؟ ولمّا جاءه مِسكٌ من البحرَينِ تمنّى امرأةً تُحسِنُ الوزنَ ليَقسِمَه؛ فقالت زوجتُه: أنا أَزِنُه لك. فقال: **لا؛ أخشى أن تأخُذي منه بأصابعِك ثم تمسَحي به عُنُقَك، فأكونَ قد أصبتُ فضلًا على المسلمين.**</w:t>
      </w:r>
      <w:r>
        <w:rPr>
          <w:rStyle w:val="a5"/>
          <w:sz w:val="36"/>
          <w:szCs w:val="36"/>
        </w:rPr>
        <w:footnoteReference w:id="7"/>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00" w:after="100"/>
      </w:pPr>
      <w:r>
        <w:rPr>
          <w:b/>
          <w:bCs/>
          <w:color w:val="1A1A1A"/>
          <w:sz w:val="36"/>
          <w:szCs w:val="36"/>
        </w:rPr>
        <w:t xml:space="preserve">٤) الخَوضُ في الشُّبُهات</w:t>
      </w:r>
    </w:p>
    <w:p>
      <w:pPr>
        <w:spacing w:after="140" w:line="340" w:lineRule="auto"/>
        <w:jc w:val="both"/>
      </w:pPr>
      <w:r>
        <w:rPr>
          <w:color w:val="1A1A1A"/>
          <w:sz w:val="36"/>
          <w:szCs w:val="36"/>
        </w:rPr>
        <w:t xml:space="preserve">فهذا من أظهرِ مظاهرِ ضَعفِ الورَع؛ قال ﷺ في حديث النعمانِ بنِ بشيرٍ ﵄ في </w:t>
      </w:r>
      <w:r>
        <w:rPr>
          <w:b/>
          <w:bCs/>
          <w:color w:val="1F5C3A"/>
          <w:sz w:val="36"/>
          <w:szCs w:val="36"/>
        </w:rPr>
        <w:t xml:space="preserve">«الصحيحين»</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«إنّ الحلالَ بيِّنٌ وإنّ الحرامَ بيِّن، وبينهما مُشتَبِهاتٌ لا يعلمُهنَّ كثيرٌ من الناس؛ فمنِ اتَّقى الشُّبُهاتِ فقدِ استبرأَ لدينِه وعِرضِه، ومن وقعَ في الشُّبُهاتِ وقعَ في الحرام: كالراعي يرعى حولَ الحِمى يُوشِكُ أن يرتعَ فيه»</w:t>
      </w:r>
      <w:r>
        <w:rPr>
          <w:rStyle w:val="a5"/>
          <w:sz w:val="36"/>
          <w:szCs w:val="36"/>
        </w:rPr>
        <w:footnoteReference w:id="8"/>
      </w:r>
    </w:p>
    <w:p>
      <w:pPr>
        <w:spacing w:after="140" w:line="340" w:lineRule="auto"/>
        <w:jc w:val="both"/>
      </w:pPr>
      <w:r>
        <w:rPr>
          <w:color w:val="1A1A1A"/>
          <w:sz w:val="36"/>
          <w:szCs w:val="36"/>
        </w:rPr>
        <w:t xml:space="preserve">إنّ الواحدَ منّا اليومَ لا يتورَّعُ عن الشُّبُهات؛ يبحثُ عن فتوى تُجيزُ له ما يريد. لا يُعجِبُه رأيُ المفتي فيقول: هذا متشدِّد! ثم يذهبُ إلى ثانٍ وثالثٍ حتى يظفَرَ بما يُوافِقُ هواه. وقد قرَّرَ أهلُ العلمِ أنّ **مَن تتبَّعَ رُخَصَ المذاهبِ فقد تعرَّضَ للانحلالِ من رِبقةِ التكليف** ـ وهي كلمةٌ قالها الأوزاعيُّ وغيرُه على وجهِ التغليظِ والزَّجر، لا على وجهِ الحكمِ على الأعيانِ بالخروجِ من الدين.</w:t>
      </w:r>
      <w:r>
        <w:rPr>
          <w:rStyle w:val="a5"/>
          <w:sz w:val="36"/>
          <w:szCs w:val="36"/>
        </w:rPr>
        <w:footnoteReference w:id="9"/>
      </w:r>
    </w:p>
    <w:p>
      <w:pPr>
        <w:spacing w:after="140" w:line="340" w:lineRule="auto"/>
        <w:jc w:val="both"/>
      </w:pPr>
      <w:r>
        <w:rPr>
          <w:color w:val="1A1A1A"/>
          <w:sz w:val="36"/>
          <w:szCs w:val="36"/>
        </w:rPr>
        <w:t xml:space="preserve">فإذا حاكَ في صدرِك شيءٌ وأنت على شكٍّ منه، فاهرُبْ بدينِك؛ فقد قال ﷺ:</w:t>
      </w:r>
    </w:p>
    <w:p>
      <w:pPr>
        <w:pBdr>
          <w:right w:val="single" w:sz="12" w:space="10" w:color="8A6A1F"/>
        </w:pBdr>
        <w:spacing w:before="120" w:after="160" w:line="320" w:lineRule="auto"/>
        <w:ind w:left="504" w:right="504"/>
        <w:jc w:val="both"/>
      </w:pPr>
      <w:r>
        <w:rPr>
          <w:b/>
          <w:bCs/>
          <w:color w:val="1F5C3A"/>
          <w:sz w:val="36"/>
          <w:szCs w:val="36"/>
        </w:rPr>
        <w:t xml:space="preserve">«دَعْ ما يَريبُك إلى ما لا يَريبُك»</w:t>
      </w:r>
      <w:r>
        <w:rPr>
          <w:rStyle w:val="a5"/>
          <w:sz w:val="36"/>
          <w:szCs w:val="36"/>
        </w:rPr>
        <w:footnoteReference w:id="10"/>
      </w:r>
    </w:p>
    <w:p>
      <w:pPr>
        <w:spacing w:before="260" w:after="120"/>
      </w:pPr>
      <w:r>
        <w:rPr>
          <w:b/>
          <w:bCs/>
          <w:color w:val="1F5C3A"/>
          <w:sz w:val="36"/>
          <w:szCs w:val="36"/>
        </w:rPr>
        <w:t xml:space="preserve">ثالثًا: الورَعُ لم يمُتْ في هذه الأمَّة</w:t>
      </w:r>
    </w:p>
    <w:p>
      <w:pPr>
        <w:spacing w:after="140" w:line="340" w:lineRule="auto"/>
        <w:jc w:val="both"/>
      </w:pPr>
      <w:r>
        <w:rPr>
          <w:color w:val="1A1A1A"/>
          <w:sz w:val="36"/>
          <w:szCs w:val="36"/>
        </w:rPr>
        <w:t xml:space="preserve">ولا يزالُ الورَعُ حيًّا؛ يتَّصِلُ بي مؤذِّنٌ يسألُ عن مالٍ أخذَه قبل عشرين سنة! ويتَّصِلُ بي مهندسٌ يسألُ: أخرُجُ في وقتِ الدوامِ لحاجتي الخاصَّةِ ولا بصمةَ علينا، فما حُكمُ هذا الجزءِ من الراتب؟ ويتَّصِلُ بي رجلٌ كان بائعًا في مؤسَّسةٍ عامَّةٍ ويسأل: بقيَتْ عندي فُلَيساتٌ من الناس، فماذا أصنعُ بها الآن؟ ثم حفَرَ بها آبارًا صدقةً عنهم!</w:t>
      </w:r>
    </w:p>
    <w:p>
      <w:pPr>
        <w:spacing w:after="140" w:line="340" w:lineRule="auto"/>
        <w:jc w:val="both"/>
      </w:pPr>
      <w:r>
        <w:rPr>
          <w:color w:val="1A1A1A"/>
          <w:sz w:val="36"/>
          <w:szCs w:val="36"/>
        </w:rPr>
        <w:t xml:space="preserve">فحمِدتُ اللهَ أنّ الورَعَ لم يمُتْ في قلوبِ أمَّةِ محمدٍ ﷺ. وقد رُوِيَ أنّ امرأةً جاءت إلى الإمامِ أحمدَ ﵀ فقالت: إني أغزِلُ على سطحِ بيتي، فتمُرُّ بنا مشاعلُ بعضِ الأمراءِ في الليل، فيقعُ ضَوءُها على مِغزَلي فأغزِلُ فيه؛ أفيَحِلُّ لي ذلك؟ فبكى الإمامُ أحمدُ من هذا السؤال وقال: من أيِّ بيتٍ أنتِ؟ قالت: أنا أختُ بِشرٍ الحافي. فقال: **من بيتِكم يخرُجُ الورَعُ الصادق.**</w:t>
      </w:r>
      <w:r>
        <w:rPr>
          <w:rStyle w:val="a5"/>
          <w:sz w:val="36"/>
          <w:szCs w:val="36"/>
        </w:rPr>
        <w:footnoteReference w:id="11"/>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فأسألُ اللهَ العليَّ الأعلى أن يُحييَ الورَعَ في قلوبِنا، وأن يرزُقَنا ورَعًا صادقًا يكُفُّنا عن الشُّبُهاتِ فضلًا عن المحرَّمات؛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أبي الدنيا والحاكمُ من حديث حُذيفةَ ﵁، وحسَّنه الألباني في «صحيح الجامع».</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أبي هريرة ﵁، وحسَّنه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عمر ﵄ في قصةِ أصحابِ الغار.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عائشة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أثرانِ عن عمر بن الخطاب ﵁؛ رواهما ابنُ سعدٍ في «الطبقات» وابنُ أبي شيبةَ وغيرُهما.</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النعمان بن بشير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قولُ «من تتبَّعَ الرُّخَصَ تزندق» يُنسَبُ إلى الأوزاعيِّ وسليمانَ التيميِّ وغيرِهما، وهو محمولٌ عند أهلِ العلمِ على التغليظِ في الزَّجرِ عن تتبُّعِ الهوى، لا على تكفيرِ المُعيَّن؛ فالتكفيرُ حكمٌ لا يُتساهَلُ فيه، وله شروطُه ومَوانعُه ومَرجِعُه أهلُ العلمِ والقضاء.</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من حديث الحسن بن عليٍّ ﵄، وصححه الألباني.</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حكاياتِ الورَعِ المرويَّةِ في ترجمةِ بِشرٍ الحافيِّ ﵀؛ ذكرَها أبو نُعيمٍ في «الحلية» والخطيبُ في «تاريخ بغداد»، وتُذكَرُ للاعتبار.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