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عُلُوُّ الهِمَّةِ لِخَيرِ أمَّة</w:t>
      </w:r>
    </w:p>
    <w:p>
      <w:pPr>
        <w:spacing w:after="120"/>
      </w:pPr>
      <w:r>
        <w:rPr>
          <w:color w:val="8A6A1F"/>
          <w:sz w:val="36"/>
          <w:szCs w:val="36"/>
        </w:rPr>
        <w:t xml:space="preserve">عُلُوُّ الهِمَّةِ في الأهدافِ والغايات، وفي العبادة</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غُلامٌ يتوارى</w:t>
      </w:r>
    </w:p>
    <w:p>
      <w:pPr>
        <w:spacing w:after="140" w:line="340" w:lineRule="auto"/>
        <w:jc w:val="both"/>
      </w:pPr>
      <w:r>
        <w:rPr>
          <w:color w:val="1A1A1A"/>
          <w:sz w:val="36"/>
          <w:szCs w:val="36"/>
        </w:rPr>
        <w:t xml:space="preserve">وبعدُ، أحبَّتي في الله، معاشرَ المصلِّين: يتوارى عن رسولِ اللهِ ﷺ ـ مع أنه يُحِبُّه! فلِمَ يتوارى؟ **إنها هِمَّةٌ اتَّقدَتْ في قلبِ عُمَيرِ بنِ أبي وقّاصٍ ﵁ يومَ بدر.**</w:t>
      </w:r>
    </w:p>
    <w:p>
      <w:pPr>
        <w:spacing w:after="140" w:line="340" w:lineRule="auto"/>
        <w:jc w:val="both"/>
      </w:pPr>
      <w:r>
        <w:rPr>
          <w:color w:val="1A1A1A"/>
          <w:sz w:val="36"/>
          <w:szCs w:val="36"/>
        </w:rPr>
        <w:t xml:space="preserve">يقولُ أخوه **سعدُ بنُ أبي وقّاصٍ ﵁**: رأيتُ أخي عُمَيرًا يتوارى قبل أن يَعرِضَه رسولُ اللهِ ﷺ، فقلتُ: ما لك يا أخي؟ فقال:</w:t>
      </w:r>
    </w:p>
    <w:p>
      <w:pPr>
        <w:pBdr>
          <w:right w:val="single" w:sz="12" w:space="10" w:color="8A6A1F"/>
        </w:pBdr>
        <w:spacing w:before="120" w:after="160" w:line="320" w:lineRule="auto"/>
        <w:ind w:left="504" w:right="504"/>
        <w:jc w:val="both"/>
      </w:pPr>
      <w:r>
        <w:rPr>
          <w:b/>
          <w:bCs/>
          <w:color w:val="1F5C3A"/>
          <w:sz w:val="36"/>
          <w:szCs w:val="36"/>
        </w:rPr>
        <w:t xml:space="preserve">«إني أخافُ أن يراني رسولُ اللهِ ﷺ فيستصغِرَني فيرُدَّني، وأنا أُحِبُّ الخروجَ لعلَّ اللهَ يرزُقُني الشهادة»</w:t>
      </w:r>
    </w:p>
    <w:p>
      <w:pPr>
        <w:spacing w:after="140" w:line="340" w:lineRule="auto"/>
        <w:jc w:val="both"/>
      </w:pPr>
      <w:r>
        <w:rPr>
          <w:color w:val="1A1A1A"/>
          <w:sz w:val="36"/>
          <w:szCs w:val="36"/>
        </w:rPr>
        <w:t xml:space="preserve">فعُرِضَ على النبيِّ ﷺ فاستصغَرَه فردَّه، فبكى؛ **فأجازَه**. يقولُ سعد: **فكنتُ أعقِدُ له حَمائِلَ سيفِه من صِغَرِه** ـ فقُتِلَ ﵁ يومَ بدرٍ وهو ابنُ ستَّ عشرةَ سنة.</w:t>
      </w:r>
      <w:r>
        <w:rPr>
          <w:rStyle w:val="a5"/>
          <w:sz w:val="36"/>
          <w:szCs w:val="36"/>
        </w:rPr>
        <w:footnoteReference w:id="1"/>
      </w:r>
    </w:p>
    <w:p>
      <w:pPr>
        <w:spacing w:after="140" w:line="340" w:lineRule="auto"/>
        <w:jc w:val="both"/>
      </w:pPr>
      <w:r>
        <w:rPr>
          <w:color w:val="1A1A1A"/>
          <w:sz w:val="36"/>
          <w:szCs w:val="36"/>
        </w:rPr>
        <w:t xml:space="preserve">**غُلامٌ يجُرُّ سيفُه الأرضَ من صِغَرِه، ولكنّه صاحبُ هِمَّة!** وهذه الأمَّةُ لن تحيا إلا بأمرِ اللهِ أوَّلًا، ثم بهِمَّةٍ تتَّقِدُ في قلوبِ أبنائِها.</w:t>
      </w:r>
    </w:p>
    <w:p>
      <w:pPr>
        <w:spacing w:after="140" w:line="340" w:lineRule="auto"/>
        <w:jc w:val="both"/>
      </w:pPr>
      <w:r>
        <w:rPr>
          <w:color w:val="1A1A1A"/>
          <w:sz w:val="36"/>
          <w:szCs w:val="36"/>
        </w:rPr>
        <w:t xml:space="preserve">فحديثي عن **الهِمَّةِ التي ترفَعُ الأمَّةَ إلى القِمَّة**؛ وسأقتصِرُ على موضعَينِ اثنَين.</w:t>
      </w:r>
    </w:p>
    <w:p>
      <w:pPr>
        <w:spacing w:before="260" w:after="120"/>
      </w:pPr>
      <w:r>
        <w:rPr>
          <w:b/>
          <w:bCs/>
          <w:color w:val="1F5C3A"/>
          <w:sz w:val="36"/>
          <w:szCs w:val="36"/>
        </w:rPr>
        <w:t xml:space="preserve">أولًا: عُلُوُّ الهِمَّةِ في الأهدافِ والغايات</w:t>
      </w:r>
    </w:p>
    <w:p>
      <w:pPr>
        <w:spacing w:after="140" w:line="340" w:lineRule="auto"/>
        <w:jc w:val="both"/>
      </w:pPr>
      <w:r>
        <w:rPr>
          <w:color w:val="1A1A1A"/>
          <w:sz w:val="36"/>
          <w:szCs w:val="36"/>
        </w:rPr>
        <w:t xml:space="preserve">**إنّ لكلِّ عبدٍ على وجهِ هذه الأرضِ هِمَّةً وغايةً وطُموحًا:** فمنهم من هِمَّتُه في بطنِه، ومنهم من هِمَّتُه في شهوتِه، ومنهم من **سَمَتْ هِمَّتُه وعَلَتْ فحلَّقَتْ نحوَ العرشِ فأصابَتِ الفردوسَ الأعلى**.</w:t>
      </w:r>
    </w:p>
    <w:p>
      <w:pPr>
        <w:spacing w:before="200" w:after="100"/>
      </w:pPr>
      <w:r>
        <w:rPr>
          <w:b/>
          <w:bCs/>
          <w:color w:val="1A1A1A"/>
          <w:sz w:val="36"/>
          <w:szCs w:val="36"/>
        </w:rPr>
        <w:t xml:space="preserve">١) الهِمَّةُ في أمرِ الآخرة</w:t>
      </w:r>
    </w:p>
    <w:p>
      <w:pPr>
        <w:spacing w:after="140" w:line="340" w:lineRule="auto"/>
        <w:jc w:val="both"/>
      </w:pPr>
      <w:r>
        <w:rPr>
          <w:color w:val="1A1A1A"/>
          <w:sz w:val="36"/>
          <w:szCs w:val="36"/>
        </w:rPr>
        <w:t xml:space="preserve">**هل سألتَ نفسَك: ما هِمَّتُك يومَ القيامة؟** ما الذي تطمَحُ إلى تحقيقِه؟ أتطمَحُ أن تكونَ في الفردوسِ الأعلى؟ أتطمَحُ أن تُحشَرَ إلى جوارِ النبيِّ ﷺ؟</w:t>
      </w:r>
    </w:p>
    <w:p>
      <w:pPr>
        <w:spacing w:after="140" w:line="340" w:lineRule="auto"/>
        <w:jc w:val="both"/>
      </w:pPr>
      <w:r>
        <w:rPr>
          <w:color w:val="1A1A1A"/>
          <w:sz w:val="36"/>
          <w:szCs w:val="36"/>
        </w:rPr>
        <w:t xml:space="preserve">وقد ربّى ﷺ أصحابَه على هذا فقال:</w:t>
      </w:r>
    </w:p>
    <w:p>
      <w:pPr>
        <w:pBdr>
          <w:right w:val="single" w:sz="12" w:space="10" w:color="8A6A1F"/>
        </w:pBdr>
        <w:spacing w:before="120" w:after="160" w:line="320" w:lineRule="auto"/>
        <w:ind w:left="504" w:right="504"/>
        <w:jc w:val="both"/>
      </w:pPr>
      <w:r>
        <w:rPr>
          <w:b/>
          <w:bCs/>
          <w:color w:val="1F5C3A"/>
          <w:sz w:val="36"/>
          <w:szCs w:val="36"/>
        </w:rPr>
        <w:t xml:space="preserve">«فإذا سألتُمُ اللهَ فسَلوه الفردوس؛ فإنه أوسَطُ الجنَّةِ وأعلى الجنَّة، وفوقَه عرشُ الرحمن، ومنه تفَجَّرُ أنهارُ الجنَّة»</w:t>
      </w:r>
      <w:r>
        <w:rPr>
          <w:rStyle w:val="a5"/>
          <w:sz w:val="36"/>
          <w:szCs w:val="36"/>
        </w:rPr>
        <w:footnoteReference w:id="2"/>
      </w:r>
    </w:p>
    <w:p>
      <w:pPr>
        <w:spacing w:after="140" w:line="340" w:lineRule="auto"/>
        <w:jc w:val="both"/>
      </w:pPr>
      <w:r>
        <w:rPr>
          <w:color w:val="1A1A1A"/>
          <w:sz w:val="36"/>
          <w:szCs w:val="36"/>
        </w:rPr>
        <w:t xml:space="preserve">**واسمَعْ مشهدًا يرويه مسلمٌ في </w:t>
      </w:r>
      <w:r>
        <w:rPr>
          <w:b/>
          <w:bCs/>
          <w:color w:val="1F5C3A"/>
          <w:sz w:val="36"/>
          <w:szCs w:val="36"/>
        </w:rPr>
        <w:t xml:space="preserve">«صحيحه»</w:t>
      </w:r>
      <w:r>
        <w:rPr>
          <w:color w:val="1A1A1A"/>
          <w:sz w:val="36"/>
          <w:szCs w:val="36"/>
        </w:rPr>
        <w:t xml:space="preserve">:** كان **ربيعةُ بنُ كعبٍ الأسلميُّ ﵁** يخدُمُ النبيَّ ﷺ ويأتيه بوَضوئِه؛ فقال له ﷺ: **</w:t>
      </w:r>
      <w:r>
        <w:rPr>
          <w:b/>
          <w:bCs/>
          <w:color w:val="1F5C3A"/>
          <w:sz w:val="36"/>
          <w:szCs w:val="36"/>
        </w:rPr>
        <w:t xml:space="preserve">«سَلْني»</w:t>
      </w:r>
      <w:r>
        <w:rPr>
          <w:color w:val="1A1A1A"/>
          <w:sz w:val="36"/>
          <w:szCs w:val="36"/>
        </w:rPr>
        <w:t xml:space="preserve">**. فماذا سيطلُبُ ربيعة؟ **فرصةٌ لا تُعوَّض!** فقال:</w:t>
      </w:r>
    </w:p>
    <w:p>
      <w:pPr>
        <w:pBdr>
          <w:right w:val="single" w:sz="12" w:space="10" w:color="8A6A1F"/>
        </w:pBdr>
        <w:spacing w:before="120" w:after="160" w:line="320" w:lineRule="auto"/>
        <w:ind w:left="504" w:right="504"/>
        <w:jc w:val="both"/>
      </w:pPr>
      <w:r>
        <w:rPr>
          <w:b/>
          <w:bCs/>
          <w:color w:val="1F5C3A"/>
          <w:sz w:val="36"/>
          <w:szCs w:val="36"/>
        </w:rPr>
        <w:t xml:space="preserve">«أسألُك مُرافقتَك في الجنَّة»</w:t>
      </w:r>
    </w:p>
    <w:p>
      <w:pPr>
        <w:spacing w:after="140" w:line="340" w:lineRule="auto"/>
        <w:jc w:val="both"/>
      </w:pPr>
      <w:r>
        <w:rPr>
          <w:color w:val="1A1A1A"/>
          <w:sz w:val="36"/>
          <w:szCs w:val="36"/>
        </w:rPr>
        <w:t xml:space="preserve">فقال ﷺ ـ مُتثبِّتًا من هِمَّتِه: **</w:t>
      </w:r>
      <w:r>
        <w:rPr>
          <w:b/>
          <w:bCs/>
          <w:color w:val="1F5C3A"/>
          <w:sz w:val="36"/>
          <w:szCs w:val="36"/>
        </w:rPr>
        <w:t xml:space="preserve">«أَوَغيرَ ذلك؟»</w:t>
      </w:r>
      <w:r>
        <w:rPr>
          <w:color w:val="1A1A1A"/>
          <w:sz w:val="36"/>
          <w:szCs w:val="36"/>
        </w:rPr>
        <w:t xml:space="preserve">** فقال: **</w:t>
      </w:r>
      <w:r>
        <w:rPr>
          <w:b/>
          <w:bCs/>
          <w:color w:val="1F5C3A"/>
          <w:sz w:val="36"/>
          <w:szCs w:val="36"/>
        </w:rPr>
        <w:t xml:space="preserve">«هو ذاك»</w:t>
      </w:r>
      <w:r>
        <w:rPr>
          <w:color w:val="1A1A1A"/>
          <w:sz w:val="36"/>
          <w:szCs w:val="36"/>
        </w:rPr>
        <w:t xml:space="preserve">**. فقال ﷺ:</w:t>
      </w:r>
    </w:p>
    <w:p>
      <w:pPr>
        <w:pBdr>
          <w:right w:val="single" w:sz="12" w:space="10" w:color="8A6A1F"/>
        </w:pBdr>
        <w:spacing w:before="120" w:after="160" w:line="320" w:lineRule="auto"/>
        <w:ind w:left="504" w:right="504"/>
        <w:jc w:val="both"/>
      </w:pPr>
      <w:r>
        <w:rPr>
          <w:b/>
          <w:bCs/>
          <w:color w:val="1F5C3A"/>
          <w:sz w:val="36"/>
          <w:szCs w:val="36"/>
        </w:rPr>
        <w:t xml:space="preserve">«فأَعِنّي على نفسِك بكثرةِ السجود»</w:t>
      </w:r>
      <w:r>
        <w:rPr>
          <w:rStyle w:val="a5"/>
          <w:sz w:val="36"/>
          <w:szCs w:val="36"/>
        </w:rPr>
        <w:footnoteReference w:id="3"/>
      </w:r>
    </w:p>
    <w:p>
      <w:pPr>
        <w:spacing w:after="140" w:line="340" w:lineRule="auto"/>
        <w:jc w:val="both"/>
      </w:pPr>
      <w:r>
        <w:rPr>
          <w:color w:val="1A1A1A"/>
          <w:sz w:val="36"/>
          <w:szCs w:val="36"/>
        </w:rPr>
        <w:t xml:space="preserve">**فهكذا ينبغي ألّا تُشرِقَ شمسٌ ولا تغيبَ إلا وهِمَّتُك هناك.** فقُلْها في دعائِك وأنت ساجد، وفي ساعةِ الإجابةِ من هذا اليوم: **يا ربِّ، أسألُك مُرافقةَ نبيِّك ﷺ في الجنة.**</w:t>
      </w:r>
    </w:p>
    <w:p>
      <w:pPr>
        <w:spacing w:after="140" w:line="340" w:lineRule="auto"/>
        <w:jc w:val="both"/>
      </w:pPr>
      <w:r>
        <w:rPr>
          <w:color w:val="1A1A1A"/>
          <w:sz w:val="36"/>
          <w:szCs w:val="36"/>
        </w:rPr>
        <w:t xml:space="preserve">**وانظُرْ إلى خبرِ عجوزِ بني إسرائيل:** جاء رجلٌ إلى النبيِّ ﷺ يسألُه شيئًا من مَتاعِ الدنيا، فذكَرَ لهم ﷺ أنّ موسى ﵇ لمّا أرادَ الخروجَ من مصرَ سألَ عن موضعِ قبرِ يوسفَ ﵇ لِيَحمِلَه معه، فلم يكُنْ يعلَمُه إلا عجوز؛ فقالت: **لا أدُلُّك حتى تُعطيَني حُكمي.** قال: وما حُكمُك؟ قالت:</w:t>
      </w:r>
    </w:p>
    <w:p>
      <w:pPr>
        <w:pBdr>
          <w:right w:val="single" w:sz="12" w:space="10" w:color="8A6A1F"/>
        </w:pBdr>
        <w:spacing w:before="120" w:after="160" w:line="320" w:lineRule="auto"/>
        <w:ind w:left="504" w:right="504"/>
        <w:jc w:val="both"/>
      </w:pPr>
      <w:r>
        <w:rPr>
          <w:b/>
          <w:bCs/>
          <w:color w:val="1F5C3A"/>
          <w:sz w:val="36"/>
          <w:szCs w:val="36"/>
        </w:rPr>
        <w:t xml:space="preserve">«أكونُ معك في الجنَّة»</w:t>
      </w:r>
      <w:r>
        <w:rPr>
          <w:rStyle w:val="a5"/>
          <w:sz w:val="36"/>
          <w:szCs w:val="36"/>
        </w:rPr>
        <w:footnoteReference w:id="4"/>
      </w:r>
    </w:p>
    <w:p>
      <w:pPr>
        <w:spacing w:after="140" w:line="340" w:lineRule="auto"/>
        <w:jc w:val="both"/>
      </w:pPr>
      <w:r>
        <w:rPr>
          <w:color w:val="1A1A1A"/>
          <w:sz w:val="36"/>
          <w:szCs w:val="36"/>
        </w:rPr>
        <w:t xml:space="preserve">**فأينَ طُموحُنا نحن؟!**</w:t>
      </w:r>
    </w:p>
    <w:p>
      <w:pPr>
        <w:spacing w:before="200" w:after="100"/>
      </w:pPr>
      <w:r>
        <w:rPr>
          <w:b/>
          <w:bCs/>
          <w:color w:val="1A1A1A"/>
          <w:sz w:val="36"/>
          <w:szCs w:val="36"/>
        </w:rPr>
        <w:t xml:space="preserve">٢) الهِمَّةُ في معالي الأمورِ في الدنيا</w:t>
      </w:r>
    </w:p>
    <w:p>
      <w:pPr>
        <w:spacing w:after="140" w:line="340" w:lineRule="auto"/>
        <w:jc w:val="both"/>
      </w:pPr>
      <w:r>
        <w:rPr>
          <w:color w:val="1A1A1A"/>
          <w:sz w:val="36"/>
          <w:szCs w:val="36"/>
        </w:rPr>
        <w:t xml:space="preserve">فينبغي أن يكونَ العبدُ طَموحًا ذا هِمَّةٍ تبلُغُ به القِمَّة؛ فقد قال ﷺ:</w:t>
      </w:r>
    </w:p>
    <w:p>
      <w:pPr>
        <w:pBdr>
          <w:right w:val="single" w:sz="12" w:space="10" w:color="8A6A1F"/>
        </w:pBdr>
        <w:spacing w:before="120" w:after="160" w:line="320" w:lineRule="auto"/>
        <w:ind w:left="504" w:right="504"/>
        <w:jc w:val="both"/>
      </w:pPr>
      <w:r>
        <w:rPr>
          <w:b/>
          <w:bCs/>
          <w:color w:val="1F5C3A"/>
          <w:sz w:val="36"/>
          <w:szCs w:val="36"/>
        </w:rPr>
        <w:t xml:space="preserve">«إنّ اللهَ يُحِبُّ مَعاليَ الأمورِ وأشرافَها، ويَكرَهُ سَفسافَها»</w:t>
      </w:r>
      <w:r>
        <w:rPr>
          <w:rStyle w:val="a5"/>
          <w:sz w:val="36"/>
          <w:szCs w:val="36"/>
        </w:rPr>
        <w:footnoteReference w:id="5"/>
      </w:r>
    </w:p>
    <w:p>
      <w:pPr>
        <w:spacing w:after="140" w:line="340" w:lineRule="auto"/>
        <w:jc w:val="both"/>
      </w:pPr>
      <w:r>
        <w:rPr>
          <w:color w:val="1A1A1A"/>
          <w:sz w:val="36"/>
          <w:szCs w:val="36"/>
        </w:rPr>
        <w:t xml:space="preserve">**فالأمورُ التافهةُ التي لا تنفَعُك في قبرِك ولا ترفَعُك عند ربِّك ـ إيّاك أن تكونَ حريصًا عليها.**</w:t>
      </w:r>
    </w:p>
    <w:p>
      <w:pPr>
        <w:spacing w:after="140" w:line="340" w:lineRule="auto"/>
        <w:jc w:val="both"/>
      </w:pPr>
      <w:r>
        <w:rPr>
          <w:color w:val="1A1A1A"/>
          <w:sz w:val="36"/>
          <w:szCs w:val="36"/>
        </w:rPr>
        <w:t xml:space="preserve">**وهذه الأمَّةُ لمّا كانت هِمَمُها عاليةً سادَت:** هِمَّةُ الشابِّ كيف ينفَعُ دينَه، وهِمَّةُ الداعي كيف يُعِدُّ الرجال، وهِمَّةُ المرأةِ في بيتِها كيف تُنشِئُ مُوحِّدًا يُحقِّقُ العبوديةَ للهِ في نفسِه وفي غيرِه.</w:t>
      </w:r>
    </w:p>
    <w:p>
      <w:pPr>
        <w:spacing w:after="140" w:line="340" w:lineRule="auto"/>
        <w:jc w:val="both"/>
      </w:pPr>
      <w:r>
        <w:rPr>
          <w:color w:val="1A1A1A"/>
          <w:sz w:val="36"/>
          <w:szCs w:val="36"/>
        </w:rPr>
        <w:t xml:space="preserve">**وممَّن أُعجِبُ بهِمَّتِه شيخُ الإسلامِ ابنُ تيميةَ ﵀** ـ في زمنٍ كزمانِنا: زمنِ ضَعفٍ وتسلُّط. كان يقول:</w:t>
      </w:r>
    </w:p>
    <w:p>
      <w:pPr>
        <w:pBdr>
          <w:right w:val="single" w:sz="12" w:space="10" w:color="8A6A1F"/>
        </w:pBdr>
        <w:spacing w:before="120" w:after="160" w:line="320" w:lineRule="auto"/>
        <w:ind w:left="504" w:right="504"/>
        <w:jc w:val="both"/>
      </w:pPr>
      <w:r>
        <w:rPr>
          <w:b/>
          <w:bCs/>
          <w:color w:val="1F5C3A"/>
          <w:sz w:val="36"/>
          <w:szCs w:val="36"/>
        </w:rPr>
        <w:t xml:space="preserve">«لو أنّ رجلًا أرادَ أن يُزيلَ جبلًا من مكانِه مُستوثِقًا باللهِ لَأزالَه»</w:t>
      </w:r>
    </w:p>
    <w:p>
      <w:pPr>
        <w:spacing w:after="140" w:line="340" w:lineRule="auto"/>
        <w:jc w:val="both"/>
      </w:pPr>
      <w:r>
        <w:rPr>
          <w:color w:val="1A1A1A"/>
          <w:sz w:val="36"/>
          <w:szCs w:val="36"/>
        </w:rPr>
        <w:t xml:space="preserve">وفي معركةِ **شَقْحَب** جيَّشَ الجيوشَ وحرَّضَ وأعَدَّ ـ وهو يرى أمَّةً ضعيفةً مهزومة ـ ثم قال: **</w:t>
      </w:r>
      <w:r>
        <w:rPr>
          <w:b/>
          <w:bCs/>
          <w:color w:val="1F5C3A"/>
          <w:sz w:val="36"/>
          <w:szCs w:val="36"/>
        </w:rPr>
        <w:t xml:space="preserve">«إنّا مَنصورونَ عليهم»</w:t>
      </w:r>
      <w:r>
        <w:rPr>
          <w:color w:val="1A1A1A"/>
          <w:sz w:val="36"/>
          <w:szCs w:val="36"/>
        </w:rPr>
        <w:t xml:space="preserve">**. فقيل له: قُلْ إن شاء الله. فقال: **</w:t>
      </w:r>
      <w:r>
        <w:rPr>
          <w:b/>
          <w:bCs/>
          <w:color w:val="1F5C3A"/>
          <w:sz w:val="36"/>
          <w:szCs w:val="36"/>
        </w:rPr>
        <w:t xml:space="preserve">«إن شاء اللهُ تحقيقًا لا تعليقًا»</w:t>
      </w:r>
      <w:r>
        <w:rPr>
          <w:color w:val="1A1A1A"/>
          <w:sz w:val="36"/>
          <w:szCs w:val="36"/>
        </w:rPr>
        <w:t xml:space="preserve">**.</w:t>
      </w:r>
      <w:r>
        <w:rPr>
          <w:rStyle w:val="a5"/>
          <w:sz w:val="36"/>
          <w:szCs w:val="36"/>
        </w:rPr>
        <w:footnoteReference w:id="6"/>
      </w:r>
    </w:p>
    <w:p>
      <w:pPr>
        <w:spacing w:after="140" w:line="340" w:lineRule="auto"/>
        <w:jc w:val="both"/>
      </w:pPr>
      <w:r>
        <w:rPr>
          <w:color w:val="1A1A1A"/>
          <w:sz w:val="36"/>
          <w:szCs w:val="36"/>
        </w:rPr>
        <w:t xml:space="preserve">**فلو أنّ الأمَّةَ اليومَ وثِقَتْ باللهِ وكانت هِمَّتُها استعادةَ الأقصى لَعادَ الأقصى.** ولكنْ لمّا صارَتْ هِمَّتُنا كُرةً تضرِبُها الأقدامُ ـ داسَتْنا الأمم؛ وإنّا للهِ وإنّا إليه راجعون.</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w:t>
      </w:r>
    </w:p>
    <w:p>
      <w:pPr>
        <w:spacing w:before="260" w:after="120"/>
      </w:pPr>
      <w:r>
        <w:rPr>
          <w:b/>
          <w:bCs/>
          <w:color w:val="1F5C3A"/>
          <w:sz w:val="36"/>
          <w:szCs w:val="36"/>
        </w:rPr>
        <w:t xml:space="preserve">ثانيًا: عُلُوُّ الهِمَّةِ في العبادة</w:t>
      </w:r>
    </w:p>
    <w:p>
      <w:pPr>
        <w:spacing w:after="140" w:line="340" w:lineRule="auto"/>
        <w:jc w:val="both"/>
      </w:pPr>
      <w:r>
        <w:rPr>
          <w:color w:val="1A1A1A"/>
          <w:sz w:val="36"/>
          <w:szCs w:val="36"/>
        </w:rPr>
        <w:t xml:space="preserve">**إننا إذا تأمَّلْنا عباداتِنا اليومَ رأينا ضَعفَ الهِمَم؛** فنحن أصحابُ عزائمَ عاليةٍ في شأنِ دنيانا ـ فحدِّثْ عن استيقاظِنا مُبكِّرينَ إلى أسواقِنا وأعمالِنا! **ثم حدِّثْ ولا حرَجَ عن ضَعفِ هِمَّةٍ تحولُ بيننا وبين صلاةِ فجرٍ وصدقةِ سِرٍّ وقيامٍ في جُنحِ الظلام.**</w:t>
      </w:r>
    </w:p>
    <w:p>
      <w:pPr>
        <w:spacing w:after="140" w:line="340" w:lineRule="auto"/>
        <w:jc w:val="both"/>
      </w:pPr>
      <w:r>
        <w:rPr>
          <w:color w:val="1A1A1A"/>
          <w:sz w:val="36"/>
          <w:szCs w:val="36"/>
        </w:rPr>
        <w:t xml:space="preserve">**فاسأَلْ نفسَك ـ وأنت بها خبير: كيف هِمَّتُك في مِحرابِ العبوديةِ لله؟**</w:t>
      </w:r>
    </w:p>
    <w:p>
      <w:pPr>
        <w:spacing w:before="200" w:after="100"/>
      </w:pPr>
      <w:r>
        <w:rPr>
          <w:b/>
          <w:bCs/>
          <w:color w:val="1A1A1A"/>
          <w:sz w:val="36"/>
          <w:szCs w:val="36"/>
        </w:rPr>
        <w:t xml:space="preserve">خبَرُ عبدِ اللهِ بنِ عمرِو بنِ العاصِ ﵄</w:t>
      </w:r>
    </w:p>
    <w:p>
      <w:pPr>
        <w:spacing w:after="140" w:line="340" w:lineRule="auto"/>
        <w:jc w:val="both"/>
      </w:pPr>
      <w:r>
        <w:rPr>
          <w:color w:val="1A1A1A"/>
          <w:sz w:val="36"/>
          <w:szCs w:val="36"/>
        </w:rPr>
        <w:t xml:space="preserve">ففي </w:t>
      </w:r>
      <w:r>
        <w:rPr>
          <w:b/>
          <w:bCs/>
          <w:color w:val="1F5C3A"/>
          <w:sz w:val="36"/>
          <w:szCs w:val="36"/>
        </w:rPr>
        <w:t xml:space="preserve">«صحيح البخاري»</w:t>
      </w:r>
      <w:r>
        <w:rPr>
          <w:color w:val="1A1A1A"/>
          <w:sz w:val="36"/>
          <w:szCs w:val="36"/>
        </w:rPr>
        <w:t xml:space="preserve"> خبَرٌ عجيب: أنّ عبدَ اللهِ ﵄ تزوَّج، فسألَ أبوه عمرٌو ﵁ زوجتَه عنه، فقالت:</w:t>
      </w:r>
    </w:p>
    <w:p>
      <w:pPr>
        <w:pBdr>
          <w:right w:val="single" w:sz="12" w:space="10" w:color="8A6A1F"/>
        </w:pBdr>
        <w:spacing w:before="120" w:after="160" w:line="320" w:lineRule="auto"/>
        <w:ind w:left="504" w:right="504"/>
        <w:jc w:val="both"/>
      </w:pPr>
      <w:r>
        <w:rPr>
          <w:b/>
          <w:bCs/>
          <w:color w:val="1F5C3A"/>
          <w:sz w:val="36"/>
          <w:szCs w:val="36"/>
        </w:rPr>
        <w:t xml:space="preserve">«نِعْمَ الرجلُ من رجلٍ لم يَطَأْ لنا فِراشًا، ولم يُفتِّشْ لنا كَنَفًا منذُ أتَيناه»</w:t>
      </w:r>
    </w:p>
    <w:p>
      <w:pPr>
        <w:spacing w:after="140" w:line="340" w:lineRule="auto"/>
        <w:jc w:val="both"/>
      </w:pPr>
      <w:r>
        <w:rPr>
          <w:color w:val="1A1A1A"/>
          <w:sz w:val="36"/>
          <w:szCs w:val="36"/>
        </w:rPr>
        <w:t xml:space="preserve">**ونحن لا نُريدُ أن نكونَ هكذا؛ ولكنِ اسمَعِ الهِمَّة.** فرفعَ أبوه أمرَه إلى النبيِّ ﷺ فقال:</w:t>
      </w:r>
    </w:p>
    <w:p>
      <w:pPr>
        <w:pBdr>
          <w:right w:val="single" w:sz="12" w:space="10" w:color="8A6A1F"/>
        </w:pBdr>
        <w:spacing w:before="120" w:after="160" w:line="320" w:lineRule="auto"/>
        <w:ind w:left="504" w:right="504"/>
        <w:jc w:val="both"/>
      </w:pPr>
      <w:r>
        <w:rPr>
          <w:b/>
          <w:bCs/>
          <w:color w:val="1F5C3A"/>
          <w:sz w:val="36"/>
          <w:szCs w:val="36"/>
        </w:rPr>
        <w:t xml:space="preserve">«كيف تصوم؟»</w:t>
      </w:r>
      <w:r>
        <w:rPr>
          <w:b/>
          <w:bCs/>
          <w:color w:val="1F5C3A"/>
          <w:sz w:val="36"/>
          <w:szCs w:val="36"/>
        </w:rPr>
        <w:t xml:space="preserve"> قال: كلَّ يوم. قال: </w:t>
      </w:r>
      <w:r>
        <w:rPr>
          <w:b/>
          <w:bCs/>
          <w:color w:val="1F5C3A"/>
          <w:sz w:val="36"/>
          <w:szCs w:val="36"/>
        </w:rPr>
        <w:t xml:space="preserve">«وكيف تختِمُ؟»</w:t>
      </w:r>
      <w:r>
        <w:rPr>
          <w:b/>
          <w:bCs/>
          <w:color w:val="1F5C3A"/>
          <w:sz w:val="36"/>
          <w:szCs w:val="36"/>
        </w:rPr>
        <w:t xml:space="preserve"> قال: كلَّ ليلة. قال: </w:t>
      </w:r>
      <w:r>
        <w:rPr>
          <w:b/>
          <w:bCs/>
          <w:color w:val="1F5C3A"/>
          <w:sz w:val="36"/>
          <w:szCs w:val="36"/>
        </w:rPr>
        <w:t xml:space="preserve">«صُمْ في كلِّ شهرٍ ثلاثةَ أيام، واقرَأِ القرآنَ في كلِّ شهر»</w:t>
      </w:r>
      <w:r>
        <w:rPr>
          <w:b/>
          <w:bCs/>
          <w:color w:val="1F5C3A"/>
          <w:sz w:val="36"/>
          <w:szCs w:val="36"/>
        </w:rPr>
        <w:t xml:space="preserve">. قال: إني أُطيقُ أكثرَ من ذلك... حتى قال: </w:t>
      </w:r>
      <w:r>
        <w:rPr>
          <w:b/>
          <w:bCs/>
          <w:color w:val="1F5C3A"/>
          <w:sz w:val="36"/>
          <w:szCs w:val="36"/>
        </w:rPr>
        <w:t xml:space="preserve">«فصُمْ صومَ داودَ ﵇: كان يصومُ يومًا ويُفطِرُ يومًا؛ ولا يَفِرُّ إذا لاقى»</w:t>
      </w:r>
      <w:r>
        <w:rPr>
          <w:b/>
          <w:bCs/>
          <w:color w:val="1F5C3A"/>
          <w:sz w:val="36"/>
          <w:szCs w:val="36"/>
        </w:rPr>
        <w:t xml:space="preserve">. وقال: </w:t>
      </w:r>
      <w:r>
        <w:rPr>
          <w:b/>
          <w:bCs/>
          <w:color w:val="1F5C3A"/>
          <w:sz w:val="36"/>
          <w:szCs w:val="36"/>
        </w:rPr>
        <w:t xml:space="preserve">«اقرَأِ القرآنَ في كلِّ سبعٍ ولا تَزِدْ على ذلك»</w:t>
      </w:r>
      <w:r>
        <w:rPr>
          <w:rStyle w:val="a5"/>
          <w:sz w:val="36"/>
          <w:szCs w:val="36"/>
        </w:rPr>
        <w:footnoteReference w:id="7"/>
      </w:r>
    </w:p>
    <w:p>
      <w:pPr>
        <w:spacing w:after="140" w:line="340" w:lineRule="auto"/>
        <w:jc w:val="both"/>
      </w:pPr>
      <w:r>
        <w:rPr>
          <w:color w:val="1A1A1A"/>
          <w:sz w:val="36"/>
          <w:szCs w:val="36"/>
        </w:rPr>
        <w:t xml:space="preserve">**هذه الهِمَّةُ هي التي جعلَتِ الإسلامَ يُشرِقُ ويُغرِب.** وهِمَمُنا اليومَ لا تبلُغُ هذا المبلَغَ ولا قريبًا منه؛ **ولكنّها ينبغي أن تقتربَ من طاعةِ الله.**</w:t>
      </w:r>
    </w:p>
    <w:p>
      <w:pPr>
        <w:spacing w:before="260" w:after="120"/>
      </w:pPr>
      <w:r>
        <w:rPr>
          <w:b/>
          <w:bCs/>
          <w:color w:val="1F5C3A"/>
          <w:sz w:val="36"/>
          <w:szCs w:val="36"/>
        </w:rPr>
        <w:t xml:space="preserve">ثالثًا: هِمَمٌ من زماننا</w:t>
      </w:r>
    </w:p>
    <w:p>
      <w:pPr>
        <w:spacing w:after="140" w:line="340" w:lineRule="auto"/>
        <w:jc w:val="both"/>
      </w:pPr>
      <w:r>
        <w:rPr>
          <w:color w:val="1A1A1A"/>
          <w:sz w:val="36"/>
          <w:szCs w:val="36"/>
        </w:rPr>
        <w:t xml:space="preserve">**وأختِمُ بهِمَّةِ رجلٍ مُعاصِر:** حدَّثَنا أحدُ مشايخِنا عن شابٍّ يُصلِّي كلَّ جمعةٍ إلى جوارِ شيخٍ كبيرٍ لا يقرأُ ولا يكتُب، لا تربِطُه به قرابةٌ ولا نسَب؛ وعلِمَ حِرصَ الشيخِ على قراءةِ سورةِ الكهفِ يومَ الجمعةِ وهو لا يُحسِنُ القراءة. **فماذا صنَع؟ جلسَ إلى جوارِه يُلقِّنُه سورةَ الكهفِ كلمةً كلمة، كلَّ جمعة.**</w:t>
      </w:r>
    </w:p>
    <w:p>
      <w:pPr>
        <w:spacing w:after="140" w:line="340" w:lineRule="auto"/>
        <w:jc w:val="both"/>
      </w:pPr>
      <w:r>
        <w:rPr>
          <w:color w:val="1A1A1A"/>
          <w:sz w:val="36"/>
          <w:szCs w:val="36"/>
        </w:rPr>
        <w:t xml:space="preserve">**وهذه الهِمَّةُ نفسُها** هي التي جعلَتِ الدكتورَ **عبدَ الرحمنِ السُّمَيط ﵀** ـ طبيبًا كويتيًّا ـ يتركُ الدَّعةَ ويَجوبُ أدغالَ إفريقيا، حتى ذُكِرَ أنه أسلمَ على يدَيه خلقٌ كثير.</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**فأيها المعلِّمُ والخطيبُ والطبيبُ والشيخُ والشاب: كُنْ ذا هِمَّةٍ عاليةٍ لنفسِك عند اللهِ ولأمَّتِك؛ حينَها تبلُغُ أمَّتُنا المجدَ والقِمَّةَ بحَولِ الواحدِ الأحد.** واربَأْ بنفسِك ـ كما قال الشاعر ـ أن ترعى مع الهَمَل.</w:t>
      </w:r>
    </w:p>
    <w:p>
      <w:pPr>
        <w:spacing w:after="140" w:line="340" w:lineRule="auto"/>
        <w:jc w:val="both"/>
      </w:pPr>
      <w:r>
        <w:rPr>
          <w:color w:val="1A1A1A"/>
          <w:sz w:val="36"/>
          <w:szCs w:val="36"/>
        </w:rPr>
        <w:t xml:space="preserve">أسألُ اللهَ العظيمَ ربَّ العرشِ العظيمِ أن يُعليَ هِمَمَنا، وأن يجعلَني وإياكم ممَّن يُصيبون الفردوسَ الأعلى من الجنَّة؛ إنه وليُّ ذلك والقادرُ عليه.</w:t>
      </w:r>
    </w:p>
    <w:p>
      <w:pPr>
        <w:spacing w:after="140" w:line="340" w:lineRule="auto"/>
        <w:jc w:val="both"/>
      </w:pPr>
      <w:r>
        <w:rPr>
          <w:color w:val="1A1A1A"/>
          <w:sz w:val="36"/>
          <w:szCs w:val="36"/>
        </w:rPr>
        <w:t xml:space="preserve">اللهم اغفِرْ للمسلمين والمسلمات، الأحياءِ منهم والأموات؛ إنك سميعٌ قريبٌ مجيبُ الدعوات.</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أخبارِ بدر؛ رواها ابنُ إسحاقَ في «السيرة» وابنُ سعدٍ في «الطبقات»، وذكرَها ابنُ كثيرٍ في «البداية والنهاية».</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أبي هريرة ﵁.</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ربيعةَ بنِ كعبٍ الأسلميِّ ﵁.</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ممّا يُروى في أخبارِ بني إسرائيلَ في كتبِ التفسير؛ رواه ابنُ حبان وغيرُه، وفي إسنادِه مقال، فيُذكَرُ للاعتبار.</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الطبرانيُّ في «الكبير» من حديث الحسينِ بنِ عليٍّ ﵄، وحسَّنه الألباني في «صحيح الجامع».</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ترجمةِ شيخِ الإسلامِ ﵀ في وقعةِ شَقْحَب؛ ذكرَها ابنُ كثيرٍ في «البداية والنهاية» وابنُ عبد الهادي في «العقود الدرية».</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عبد الله بن عمرو ﵄. و«الكَنَف»: الجانبُ والسِّتر.</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