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فضائلُ الذِّكر</w:t>
      </w:r>
    </w:p>
    <w:p>
      <w:pPr>
        <w:spacing w:after="120"/>
      </w:pPr>
      <w:r>
        <w:rPr>
          <w:color w:val="8A6A1F"/>
          <w:sz w:val="36"/>
          <w:szCs w:val="36"/>
        </w:rPr>
        <w:t xml:space="preserve">خيرُ الأعمالِ وأزكاها، والتحذيرُ من الذِّكرِ المُحدَث</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حديثٌ غفَلْنا عنه</w:t>
      </w:r>
    </w:p>
    <w:p>
      <w:pPr>
        <w:spacing w:after="140" w:line="340" w:lineRule="auto"/>
        <w:jc w:val="both"/>
      </w:pPr>
      <w:r>
        <w:rPr>
          <w:color w:val="1A1A1A"/>
          <w:sz w:val="36"/>
          <w:szCs w:val="36"/>
        </w:rPr>
        <w:t xml:space="preserve">وبعدُ، أحبَّتي في الله، معاشرَ المصلِّين: يُتعِبُه صيامُ النوافل، وتعجَزُ أقدامُه عن طولِ القيام، ولا يجِدُ مالًا يكفي حاجتَه فضلًا عن أن يتصدَّقَ به، وتتوقُ نفسُه للجهادِ ولا سبيلَ إليه ـ **وهو يبحثُ عن الدرجاتِ العُلا**.</w:t>
      </w:r>
    </w:p>
    <w:p>
      <w:pPr>
        <w:spacing w:after="140" w:line="340" w:lineRule="auto"/>
        <w:jc w:val="both"/>
      </w:pPr>
      <w:r>
        <w:rPr>
          <w:color w:val="1A1A1A"/>
          <w:sz w:val="36"/>
          <w:szCs w:val="36"/>
        </w:rPr>
        <w:t xml:space="preserve">جلسَ حزينًا مهمومًا، ثم تناولَ بيدِه </w:t>
      </w:r>
      <w:r>
        <w:rPr>
          <w:b/>
          <w:bCs/>
          <w:color w:val="1F5C3A"/>
          <w:sz w:val="36"/>
          <w:szCs w:val="36"/>
        </w:rPr>
        <w:t xml:space="preserve">«جامعَ الترمذيِّ»</w:t>
      </w:r>
      <w:r>
        <w:rPr>
          <w:color w:val="1A1A1A"/>
          <w:sz w:val="36"/>
          <w:szCs w:val="36"/>
        </w:rPr>
        <w:t xml:space="preserve"> يُقلِّبُ صفحاتِه؛ فتوقَّفَ فجأةً وحدَّقَ ببصرِه: **ما هذا الحديثُ العظيم؟ وأينَ كنتُ غافلًا عنه؟!**</w:t>
      </w:r>
    </w:p>
    <w:p>
      <w:pPr>
        <w:spacing w:after="140" w:line="340" w:lineRule="auto"/>
        <w:jc w:val="both"/>
      </w:pPr>
      <w:r>
        <w:rPr>
          <w:color w:val="1A1A1A"/>
          <w:sz w:val="36"/>
          <w:szCs w:val="36"/>
        </w:rPr>
        <w:t xml:space="preserve">قال ﷺ ـ فأَرْعِني قلبَك:</w:t>
      </w:r>
    </w:p>
    <w:p>
      <w:pPr>
        <w:pBdr>
          <w:right w:val="single" w:sz="12" w:space="10" w:color="8A6A1F"/>
        </w:pBdr>
        <w:spacing w:before="120" w:after="160" w:line="320" w:lineRule="auto"/>
        <w:ind w:left="504" w:right="504"/>
        <w:jc w:val="both"/>
      </w:pPr>
      <w:r>
        <w:rPr>
          <w:b/>
          <w:bCs/>
          <w:color w:val="1F5C3A"/>
          <w:sz w:val="36"/>
          <w:szCs w:val="36"/>
        </w:rPr>
        <w:t xml:space="preserve">«ألا أُنبِّئُكم بخيرِ أعمالِكم، وأزكاها عند مَليكِكم، وأرفعِها في درجاتِكم، وخيرٍ لكم من إنفاقِ الذهبِ والوَرِق، وخيرٍ لكم من أن تَلقَوا عدُوَّكم فتَضرِبوا أعناقَهم ويَضرِبوا أعناقَكم؟»</w:t>
      </w:r>
      <w:r>
        <w:rPr>
          <w:b/>
          <w:bCs/>
          <w:color w:val="1F5C3A"/>
          <w:sz w:val="36"/>
          <w:szCs w:val="36"/>
        </w:rPr>
        <w:t xml:space="preserve"> قالوا: بلى يا رسولَ الله. قال: **</w:t>
      </w:r>
      <w:r>
        <w:rPr>
          <w:b/>
          <w:bCs/>
          <w:color w:val="1F5C3A"/>
          <w:sz w:val="36"/>
          <w:szCs w:val="36"/>
        </w:rPr>
        <w:t xml:space="preserve">«ذِكرُ اللهِ تعالى»</w:t>
      </w:r>
      <w:r>
        <w:rPr>
          <w:b/>
          <w:bCs/>
          <w:color w:val="1F5C3A"/>
          <w:sz w:val="36"/>
          <w:szCs w:val="36"/>
        </w:rPr>
        <w:t xml:space="preserve">**</w:t>
      </w:r>
      <w:r>
        <w:rPr>
          <w:rStyle w:val="a5"/>
          <w:sz w:val="36"/>
          <w:szCs w:val="36"/>
        </w:rPr>
        <w:footnoteReference w:id="1"/>
      </w:r>
    </w:p>
    <w:p>
      <w:pPr>
        <w:spacing w:after="140" w:line="340" w:lineRule="auto"/>
        <w:jc w:val="both"/>
      </w:pPr>
      <w:r>
        <w:rPr>
          <w:color w:val="1A1A1A"/>
          <w:sz w:val="36"/>
          <w:szCs w:val="36"/>
        </w:rPr>
        <w:t xml:space="preserve">**خيرُ الأعمالِ وأزكاها وأرفعُها!** فحديثُنا اليومَ عن **الذِّكرِ وفضائلِه**.</w:t>
      </w:r>
    </w:p>
    <w:p>
      <w:pPr>
        <w:spacing w:before="260" w:after="120"/>
      </w:pPr>
      <w:r>
        <w:rPr>
          <w:b/>
          <w:bCs/>
          <w:color w:val="1F5C3A"/>
          <w:sz w:val="36"/>
          <w:szCs w:val="36"/>
        </w:rPr>
        <w:t xml:space="preserve">أولًا: أنّ الذاكرَ للهِ يذكُرُه الله</w:t>
      </w:r>
    </w:p>
    <w:p>
      <w:pPr>
        <w:spacing w:after="140" w:line="340" w:lineRule="auto"/>
        <w:jc w:val="both"/>
      </w:pPr>
      <w:r>
        <w:rPr>
          <w:color w:val="1A1A1A"/>
          <w:sz w:val="36"/>
          <w:szCs w:val="36"/>
        </w:rPr>
        <w:t xml:space="preserve">**أيها الباحثونَ عن الذِّكرِ والشُّهرةِ وعُلوِّ المنزلة**، يا من تتوقُ نفسُك إلى كثرةِ المُتابِعينَ والمُشيرينَ إليك: اسمَعْ قولَ ربِّك:</w:t>
      </w:r>
    </w:p>
    <w:p>
      <w:pPr>
        <w:pBdr>
          <w:right w:val="single" w:sz="12" w:space="10" w:color="8A6A1F"/>
        </w:pBdr>
        <w:spacing w:before="120" w:after="160" w:line="320" w:lineRule="auto"/>
        <w:ind w:left="504" w:right="504"/>
        <w:jc w:val="both"/>
      </w:pPr>
      <w:r>
        <w:rPr>
          <w:b/>
          <w:bCs/>
          <w:color w:val="8A6A1F"/>
          <w:sz w:val="36"/>
          <w:szCs w:val="36"/>
        </w:rPr>
        <w:t xml:space="preserve">﴿فَاذْكُرُونِي أَذْكُرْكُمْ وَاشْكُرُوا لِي وَلَا تَكْفُرُونِ﴾</w:t>
      </w:r>
    </w:p>
    <w:p>
      <w:pPr>
        <w:spacing w:after="140" w:line="340" w:lineRule="auto"/>
        <w:jc w:val="both"/>
      </w:pPr>
      <w:r>
        <w:rPr>
          <w:color w:val="1A1A1A"/>
          <w:sz w:val="36"/>
          <w:szCs w:val="36"/>
        </w:rPr>
        <w:t xml:space="preserve">**فأيُّ ذِكرٍ أعظمُ وأشرفُ من أن يذكُرَك اللهُ جلَّ في عُلاه؟!** وقال في الحديثِ القُدسي:</w:t>
      </w:r>
    </w:p>
    <w:p>
      <w:pPr>
        <w:pBdr>
          <w:right w:val="single" w:sz="12" w:space="10" w:color="8A6A1F"/>
        </w:pBdr>
        <w:spacing w:before="120" w:after="160" w:line="320" w:lineRule="auto"/>
        <w:ind w:left="504" w:right="504"/>
        <w:jc w:val="both"/>
      </w:pPr>
      <w:r>
        <w:rPr>
          <w:b/>
          <w:bCs/>
          <w:color w:val="1F5C3A"/>
          <w:sz w:val="36"/>
          <w:szCs w:val="36"/>
        </w:rPr>
        <w:t xml:space="preserve">«أنا عند ظنِّ عبدي بي، وأنا معه إذا ذكَرَني؛ فإن ذكَرَني في نفسِه ذكَرتُه في نفسي، وإن ذكَرَني في مَلَإٍ ذكَرتُه في مَلَإٍ خيرٍ منهم»</w:t>
      </w:r>
      <w:r>
        <w:rPr>
          <w:rStyle w:val="a5"/>
          <w:sz w:val="36"/>
          <w:szCs w:val="36"/>
        </w:rPr>
        <w:footnoteReference w:id="2"/>
      </w:r>
    </w:p>
    <w:p>
      <w:pPr>
        <w:spacing w:after="140" w:line="340" w:lineRule="auto"/>
        <w:jc w:val="both"/>
      </w:pPr>
      <w:r>
        <w:rPr>
          <w:color w:val="1A1A1A"/>
          <w:sz w:val="36"/>
          <w:szCs w:val="36"/>
        </w:rPr>
        <w:t xml:space="preserve">فما بالُنا نُقدِّمُ لذِكرِ الدنيا الغاليَ والنفيس، ثم لا تتحرَّكُ ألسنتُنا بذِكرٍ يُورِثُنا ذِكرًا في المَلَإ الأعلى؟! **إنّ الرِّفعةَ الحقيقيةَ أن تُذكَرَ في السماء.**</w:t>
      </w:r>
    </w:p>
    <w:p>
      <w:pPr>
        <w:spacing w:before="260" w:after="120"/>
      </w:pPr>
      <w:r>
        <w:rPr>
          <w:b/>
          <w:bCs/>
          <w:color w:val="1F5C3A"/>
          <w:sz w:val="36"/>
          <w:szCs w:val="36"/>
        </w:rPr>
        <w:t xml:space="preserve">ثانيًا: أنه براءةٌ من النفاقِ والرِّياء</w:t>
      </w:r>
    </w:p>
    <w:p>
      <w:pPr>
        <w:spacing w:after="140" w:line="340" w:lineRule="auto"/>
        <w:jc w:val="both"/>
      </w:pPr>
      <w:r>
        <w:rPr>
          <w:color w:val="1A1A1A"/>
          <w:sz w:val="36"/>
          <w:szCs w:val="36"/>
        </w:rPr>
        <w:t xml:space="preserve">فإنّ النفاقَ والرِّياءَ مرَضٌ قلبيٌّ خطيرٌ يأكُلُ القلوبَ أكلًا. **والعبدُ الذي يَلزَمُ الذِّكرَ بقلبِه قبل لسانِه ـ عبدٌ بريءٌ من النفاقِ بإذنِ الله**؛ ذلك أنّ المنافقينَ والمُرائينَ يعملون للدنيا ولا يذكُرون الله. قال تعالى:</w:t>
      </w:r>
    </w:p>
    <w:p>
      <w:pPr>
        <w:pBdr>
          <w:right w:val="single" w:sz="12" w:space="10" w:color="8A6A1F"/>
        </w:pBdr>
        <w:spacing w:before="120" w:after="160" w:line="320" w:lineRule="auto"/>
        <w:ind w:left="504" w:right="504"/>
        <w:jc w:val="both"/>
      </w:pPr>
      <w:r>
        <w:rPr>
          <w:b/>
          <w:bCs/>
          <w:color w:val="8A6A1F"/>
          <w:sz w:val="36"/>
          <w:szCs w:val="36"/>
        </w:rPr>
        <w:t xml:space="preserve">﴿وَإِذَا قَامُوا إِلَى الصَّلَاةِ قَامُوا كُسَالَىٰ يُرَاءُونَ النَّاسَ وَلَا يَذْكُرُونَ اللَّهَ إِلَّا قَلِيلًا﴾</w:t>
      </w:r>
    </w:p>
    <w:p>
      <w:pPr>
        <w:spacing w:after="140" w:line="340" w:lineRule="auto"/>
        <w:jc w:val="both"/>
      </w:pPr>
      <w:r>
        <w:rPr>
          <w:color w:val="1A1A1A"/>
          <w:sz w:val="36"/>
          <w:szCs w:val="36"/>
        </w:rPr>
        <w:t xml:space="preserve">**فإن أردتَ أن تُربِّيَ قلبَك على الإخلاصِ فأكثِرْ من ذِكرِ اللهِ بينك وبين نفسِك**؛ فإنك حين تذكُرُ لا تريدُ إلا الله.</w:t>
      </w:r>
    </w:p>
    <w:p>
      <w:pPr>
        <w:spacing w:before="260" w:after="120"/>
      </w:pPr>
      <w:r>
        <w:rPr>
          <w:b/>
          <w:bCs/>
          <w:color w:val="1F5C3A"/>
          <w:sz w:val="36"/>
          <w:szCs w:val="36"/>
        </w:rPr>
        <w:t xml:space="preserve">ثالثًا: أنه حياةٌ للقلبِ وقُوَّةٌ للبدن</w:t>
      </w:r>
    </w:p>
    <w:p>
      <w:pPr>
        <w:spacing w:after="140" w:line="340" w:lineRule="auto"/>
        <w:jc w:val="both"/>
      </w:pPr>
      <w:r>
        <w:rPr>
          <w:color w:val="1A1A1A"/>
          <w:sz w:val="36"/>
          <w:szCs w:val="36"/>
        </w:rPr>
        <w:t xml:space="preserve">**فليست الحياةُ الحقيقيةُ جريانَ الدماءِ وخروجَ الأنفاس** ـ فتلك تُشارِكُك فيها البهائم؛ إنما الحياةُ أن **يحيا قلبُك بذِكرِ الله**. قال ﷺ:</w:t>
      </w:r>
    </w:p>
    <w:p>
      <w:pPr>
        <w:pBdr>
          <w:right w:val="single" w:sz="12" w:space="10" w:color="8A6A1F"/>
        </w:pBdr>
        <w:spacing w:before="120" w:after="160" w:line="320" w:lineRule="auto"/>
        <w:ind w:left="504" w:right="504"/>
        <w:jc w:val="both"/>
      </w:pPr>
      <w:r>
        <w:rPr>
          <w:b/>
          <w:bCs/>
          <w:color w:val="1F5C3A"/>
          <w:sz w:val="36"/>
          <w:szCs w:val="36"/>
        </w:rPr>
        <w:t xml:space="preserve">«مثَلُ الذي يذكُرُ ربَّه والذي لا يذكُرُ ربَّه مثَلُ الحيِّ والميِّت»</w:t>
      </w:r>
      <w:r>
        <w:rPr>
          <w:rStyle w:val="a5"/>
          <w:sz w:val="36"/>
          <w:szCs w:val="36"/>
        </w:rPr>
        <w:footnoteReference w:id="3"/>
      </w:r>
    </w:p>
    <w:p>
      <w:pPr>
        <w:spacing w:after="140" w:line="340" w:lineRule="auto"/>
        <w:jc w:val="both"/>
      </w:pPr>
      <w:r>
        <w:rPr>
          <w:color w:val="1A1A1A"/>
          <w:sz w:val="36"/>
          <w:szCs w:val="36"/>
        </w:rPr>
        <w:t xml:space="preserve">**فمن جلسَ عُمُرَه لا يذكُرُ اللهَ إلا قليلًا فقد ماتَ قبل أن يموت.**</w:t>
      </w:r>
    </w:p>
    <w:p>
      <w:pPr>
        <w:spacing w:after="140" w:line="340" w:lineRule="auto"/>
        <w:jc w:val="both"/>
      </w:pPr>
      <w:r>
        <w:rPr>
          <w:color w:val="1A1A1A"/>
          <w:sz w:val="36"/>
          <w:szCs w:val="36"/>
        </w:rPr>
        <w:t xml:space="preserve">**وأمّا قُوَّةُ البدن:** فقد سألَتْ فاطمةُ ﵂ أباها ﷺ خادمًا يُعينُها على شؤونِها، فأرشدَها إلى ذِكرٍ وقال:</w:t>
      </w:r>
    </w:p>
    <w:p>
      <w:pPr>
        <w:pBdr>
          <w:right w:val="single" w:sz="12" w:space="10" w:color="8A6A1F"/>
        </w:pBdr>
        <w:spacing w:before="120" w:after="160" w:line="320" w:lineRule="auto"/>
        <w:ind w:left="504" w:right="504"/>
        <w:jc w:val="both"/>
      </w:pPr>
      <w:r>
        <w:rPr>
          <w:b/>
          <w:bCs/>
          <w:color w:val="1F5C3A"/>
          <w:sz w:val="36"/>
          <w:szCs w:val="36"/>
        </w:rPr>
        <w:t xml:space="preserve">«ألا أَدُلُّكما على ما هو خيرٌ لكما من خادم؟ إذا أويتُما إلى فِراشِكما فسبِّحا ثلاثًا وثلاثين، واحمَدا ثلاثًا وثلاثين، وكبِّرا أربعًا وثلاثين؛ فهو خيرٌ لكما من خادم»</w:t>
      </w:r>
    </w:p>
    <w:p>
      <w:pPr>
        <w:spacing w:after="140" w:line="340" w:lineRule="auto"/>
        <w:jc w:val="both"/>
      </w:pPr>
      <w:r>
        <w:rPr>
          <w:color w:val="1A1A1A"/>
          <w:sz w:val="36"/>
          <w:szCs w:val="36"/>
        </w:rPr>
        <w:t xml:space="preserve">يقولُ عليٌّ ﵁: **</w:t>
      </w:r>
      <w:r>
        <w:rPr>
          <w:b/>
          <w:bCs/>
          <w:color w:val="1F5C3A"/>
          <w:sz w:val="36"/>
          <w:szCs w:val="36"/>
        </w:rPr>
        <w:t xml:space="preserve">«ما ترَكتُها منذُ سمعتُها من رسولِ اللهِ ﷺ»</w:t>
      </w:r>
      <w:r>
        <w:rPr>
          <w:color w:val="1A1A1A"/>
          <w:sz w:val="36"/>
          <w:szCs w:val="36"/>
        </w:rPr>
        <w:t xml:space="preserve">**. قيل له: ولا ليلةَ صِفِّين؟ قال: **</w:t>
      </w:r>
      <w:r>
        <w:rPr>
          <w:b/>
          <w:bCs/>
          <w:color w:val="1F5C3A"/>
          <w:sz w:val="36"/>
          <w:szCs w:val="36"/>
        </w:rPr>
        <w:t xml:space="preserve">«ولا ليلةَ صِفِّين»</w:t>
      </w:r>
      <w:r>
        <w:rPr>
          <w:color w:val="1A1A1A"/>
          <w:sz w:val="36"/>
          <w:szCs w:val="36"/>
        </w:rPr>
        <w:t xml:space="preserve">**.</w:t>
      </w:r>
      <w:r>
        <w:rPr>
          <w:rStyle w:val="a5"/>
          <w:sz w:val="36"/>
          <w:szCs w:val="36"/>
        </w:rPr>
        <w:footnoteReference w:id="4"/>
      </w:r>
    </w:p>
    <w:p>
      <w:pPr>
        <w:spacing w:after="140" w:line="340" w:lineRule="auto"/>
        <w:jc w:val="both"/>
      </w:pPr>
      <w:r>
        <w:rPr>
          <w:color w:val="1A1A1A"/>
          <w:sz w:val="36"/>
          <w:szCs w:val="36"/>
        </w:rPr>
        <w:t xml:space="preserve">**ولطالما عجِبتُ** ـ وأنا أقرأُ في ترجمةِ شيخِ الإسلامِ ابنِ تيميةَ ﵀ من قُوَّتِه وشجاعتِه وفروسيَّتِه بالسِّنانِ والقلمِ واللسان ـ من قولِ تلميذِه ابنِ القيِّم: كان ﵀ **يذكُرُ اللهَ بعد الفجرِ حتى ينتصِفَ النهار**، ثم يقول: **</w:t>
      </w:r>
      <w:r>
        <w:rPr>
          <w:b/>
          <w:bCs/>
          <w:color w:val="1F5C3A"/>
          <w:sz w:val="36"/>
          <w:szCs w:val="36"/>
        </w:rPr>
        <w:t xml:space="preserve">«هذه غَدْوَتي؛ لو لم أتغَدَّها لَسقَطَتْ قُوايَ»</w:t>
      </w:r>
      <w:r>
        <w:rPr>
          <w:color w:val="1A1A1A"/>
          <w:sz w:val="36"/>
          <w:szCs w:val="36"/>
        </w:rPr>
        <w:t xml:space="preserve">.**</w:t>
      </w:r>
      <w:r>
        <w:rPr>
          <w:rStyle w:val="a5"/>
          <w:sz w:val="36"/>
          <w:szCs w:val="36"/>
        </w:rPr>
        <w:footnoteReference w:id="5"/>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يا معاشرَ الذاكرينَ والذاكرات:</w:t>
      </w:r>
    </w:p>
    <w:p>
      <w:pPr>
        <w:spacing w:before="260" w:after="120"/>
      </w:pPr>
      <w:r>
        <w:rPr>
          <w:b/>
          <w:bCs/>
          <w:color w:val="1F5C3A"/>
          <w:sz w:val="36"/>
          <w:szCs w:val="36"/>
        </w:rPr>
        <w:t xml:space="preserve">رابعًا: تحذيرٌ من الذِّكرِ المُحدَث</w:t>
      </w:r>
    </w:p>
    <w:p>
      <w:pPr>
        <w:spacing w:after="140" w:line="340" w:lineRule="auto"/>
        <w:jc w:val="both"/>
      </w:pPr>
      <w:r>
        <w:rPr>
          <w:color w:val="1A1A1A"/>
          <w:sz w:val="36"/>
          <w:szCs w:val="36"/>
        </w:rPr>
        <w:t xml:space="preserve">**اعلَمْ أننا في زمانِ غُربةٍ للسنَّة؛** فقد تفشّى بين صفوفِ المسلمينَ من يدعو إلى **ذِكرٍ مُحدَثٍ وطريقةٍ مُبتَدَعة** لا تزيدُ صاحبَها من اللهِ إلا بُعدًا؛ وإنّا للهِ وإنّا إليه راجعون.</w:t>
      </w:r>
    </w:p>
    <w:p>
      <w:pPr>
        <w:spacing w:after="140" w:line="340" w:lineRule="auto"/>
        <w:jc w:val="both"/>
      </w:pPr>
      <w:r>
        <w:rPr>
          <w:color w:val="1A1A1A"/>
          <w:sz w:val="36"/>
          <w:szCs w:val="36"/>
        </w:rPr>
        <w:t xml:space="preserve">**فاعلَمْ يا مسلمُ أنّ الذِّكرَ عبادة، وأنّ العبادةَ تُفعَلُ كما فعلَها النبيُّ ﷺ.** وإنّ من المُحدَثاتِ الشائعةِ التي بدأَتْ تُطِلُّ برأسِها وتُروَّجُ بصمتٍ وتدرُّج: **بدعةَ الذِّكرِ الجماعيّ**؛ فترى الرجالَ ـ بل والنساء ـ يتمايَلون برؤوسِهم يزعُمون أنهم يذكُرون الله.</w:t>
      </w:r>
    </w:p>
    <w:p>
      <w:pPr>
        <w:spacing w:after="140" w:line="340" w:lineRule="auto"/>
        <w:jc w:val="both"/>
      </w:pPr>
      <w:r>
        <w:rPr>
          <w:color w:val="1A1A1A"/>
          <w:sz w:val="36"/>
          <w:szCs w:val="36"/>
        </w:rPr>
        <w:t xml:space="preserve">**واعلَموا أنّ البِدَعَ قد يكونُ ظاهرُها خيرًا لكنّها تهدِمُ الدين.** فمتى ذكَرَ المسلمونَ اللهَ بدُفٍّ وطبلٍ وتمايُلِ رؤوس؟! إنّ هذا **قِلَّةُ تعظيمٍ وقِلَّةُ توفيق**.</w:t>
      </w:r>
    </w:p>
    <w:p>
      <w:pPr>
        <w:spacing w:before="200" w:after="100"/>
      </w:pPr>
      <w:r>
        <w:rPr>
          <w:b/>
          <w:bCs/>
          <w:color w:val="1A1A1A"/>
          <w:sz w:val="36"/>
          <w:szCs w:val="36"/>
        </w:rPr>
        <w:t xml:space="preserve">أثَرُ عمرَ ﵁</w:t>
      </w:r>
    </w:p>
    <w:p>
      <w:pPr>
        <w:spacing w:after="140" w:line="340" w:lineRule="auto"/>
        <w:jc w:val="both"/>
      </w:pPr>
      <w:r>
        <w:rPr>
          <w:color w:val="1A1A1A"/>
          <w:sz w:val="36"/>
          <w:szCs w:val="36"/>
        </w:rPr>
        <w:t xml:space="preserve">أخرجَ ابنُ وضّاحٍ عن أبي عثمانَ النَّهْديِّ: أنّ عامِلًا لعمرَ ﵁ كتبَ إليه أنّ عندَه قومًا يجتمعونَ فيَدْعون للمسلمين وللإمام؛ **فكتبَ إليه عمرُ أن يُقبِلَ ويُقبِلوا معه**. فلمّا وصَلوا قال لبوّابِه: **أَعِدَّ السَّوط**؛ فلمّا دخلوا جعلَ يضرِبُ أميرَهم.</w:t>
      </w:r>
      <w:r>
        <w:rPr>
          <w:rStyle w:val="a5"/>
          <w:sz w:val="36"/>
          <w:szCs w:val="36"/>
        </w:rPr>
        <w:footnoteReference w:id="6"/>
      </w:r>
    </w:p>
    <w:p>
      <w:pPr>
        <w:spacing w:before="200" w:after="100"/>
      </w:pPr>
      <w:r>
        <w:rPr>
          <w:b/>
          <w:bCs/>
          <w:color w:val="1A1A1A"/>
          <w:sz w:val="36"/>
          <w:szCs w:val="36"/>
        </w:rPr>
        <w:t xml:space="preserve">أثَرُ ابنِ مسعودٍ ﵁</w:t>
      </w:r>
    </w:p>
    <w:p>
      <w:pPr>
        <w:spacing w:after="140" w:line="340" w:lineRule="auto"/>
        <w:jc w:val="both"/>
      </w:pPr>
      <w:r>
        <w:rPr>
          <w:color w:val="1A1A1A"/>
          <w:sz w:val="36"/>
          <w:szCs w:val="36"/>
        </w:rPr>
        <w:t xml:space="preserve">وأخرجَ الدارِميُّ في </w:t>
      </w:r>
      <w:r>
        <w:rPr>
          <w:b/>
          <w:bCs/>
          <w:color w:val="1F5C3A"/>
          <w:sz w:val="36"/>
          <w:szCs w:val="36"/>
        </w:rPr>
        <w:t xml:space="preserve">«سُنَنِه»</w:t>
      </w:r>
      <w:r>
        <w:rPr>
          <w:color w:val="1A1A1A"/>
          <w:sz w:val="36"/>
          <w:szCs w:val="36"/>
        </w:rPr>
        <w:t xml:space="preserve"> بسندٍ صحيح: أنّ أبا موسى الأشعريَّ ﵁ جاء إلى عبدِ اللهِ بنِ مسعودٍ ﵁ فقال: **إني رأيتُ في المسجدِ أمرًا أنكَرتُه، ولم أَرَ ـ والحمدُ للهِ ـ إلا خيرًا.** قال: فما هو؟ قال:</w:t>
      </w:r>
    </w:p>
    <w:p>
      <w:pPr>
        <w:pBdr>
          <w:right w:val="single" w:sz="12" w:space="10" w:color="8A6A1F"/>
        </w:pBdr>
        <w:spacing w:before="120" w:after="160" w:line="320" w:lineRule="auto"/>
        <w:ind w:left="504" w:right="504"/>
        <w:jc w:val="both"/>
      </w:pPr>
      <w:r>
        <w:rPr>
          <w:b/>
          <w:bCs/>
          <w:color w:val="1F5C3A"/>
          <w:sz w:val="36"/>
          <w:szCs w:val="36"/>
        </w:rPr>
        <w:t xml:space="preserve">«رأيتُ في المسجدِ قومًا حِلَقًا جُلوسًا ينتظِرونَ الصلاة؛ في كلِّ حَلقةٍ رجلٌ وفي أيديهم حَصًى، فيقول: كبِّروا مِائة، فيُكبِّرون مِائة؛ فيقول: هلِّلوا مِائة، فيُهلِّلون مِائة؛ فيقول: سبِّحوا مِائة، فيُسبِّحون مِائة»</w:t>
      </w:r>
    </w:p>
    <w:p>
      <w:pPr>
        <w:spacing w:after="140" w:line="340" w:lineRule="auto"/>
        <w:jc w:val="both"/>
      </w:pPr>
      <w:r>
        <w:rPr>
          <w:color w:val="1A1A1A"/>
          <w:sz w:val="36"/>
          <w:szCs w:val="36"/>
        </w:rPr>
        <w:t xml:space="preserve">فقال ابنُ مسعود: **فهلّا أمَرتَهم أن يَعُدُّوا سيِّئاتِهم وضمِنتَ لهم ألّا يَضيعَ من حسناتِهم شيء؟** ثم مضى إليهم فوقفَ عليهم فقال:</w:t>
      </w:r>
    </w:p>
    <w:p>
      <w:pPr>
        <w:pBdr>
          <w:right w:val="single" w:sz="12" w:space="10" w:color="8A6A1F"/>
        </w:pBdr>
        <w:spacing w:before="120" w:after="160" w:line="320" w:lineRule="auto"/>
        <w:ind w:left="504" w:right="504"/>
        <w:jc w:val="both"/>
      </w:pPr>
      <w:r>
        <w:rPr>
          <w:b/>
          <w:bCs/>
          <w:color w:val="1F5C3A"/>
          <w:sz w:val="36"/>
          <w:szCs w:val="36"/>
        </w:rPr>
        <w:t xml:space="preserve">«ما هذا الذي أراكم تصنَعون؟... وَيحَكم يا أمَّةَ محمد! ما أسرَعَ هَلَكتَكم! هؤلاء صحابةُ نبيِّكم ﷺ مُتوافِرون، وهذه ثيابُه لم تَبْلَ، وآنيتُه لم تُكسَر. والذي نفسي بيدِه، إنكم لَعلى مِلَّةٍ هي أهدى من مِلَّةِ محمد، أو مُفتَتِحو بابِ ضلالة!»</w:t>
      </w:r>
    </w:p>
    <w:p>
      <w:pPr>
        <w:spacing w:after="140" w:line="340" w:lineRule="auto"/>
        <w:jc w:val="both"/>
      </w:pPr>
      <w:r>
        <w:rPr>
          <w:color w:val="1A1A1A"/>
          <w:sz w:val="36"/>
          <w:szCs w:val="36"/>
        </w:rPr>
        <w:t xml:space="preserve">قالوا: واللهِ يا أبا عبد الرحمن، ما أرَدْنا إلا الخير. قال: **</w:t>
      </w:r>
      <w:r>
        <w:rPr>
          <w:b/>
          <w:bCs/>
          <w:color w:val="1F5C3A"/>
          <w:sz w:val="36"/>
          <w:szCs w:val="36"/>
        </w:rPr>
        <w:t xml:space="preserve">«وكم من مُريدٍ للخيرِ لن يُصيبَه!»</w:t>
      </w:r>
      <w:r>
        <w:rPr>
          <w:color w:val="1A1A1A"/>
          <w:sz w:val="36"/>
          <w:szCs w:val="36"/>
        </w:rPr>
        <w:t xml:space="preserve">**</w:t>
      </w:r>
    </w:p>
    <w:p>
      <w:pPr>
        <w:spacing w:after="140" w:line="340" w:lineRule="auto"/>
        <w:jc w:val="both"/>
      </w:pPr>
      <w:r>
        <w:rPr>
          <w:color w:val="1A1A1A"/>
          <w:sz w:val="36"/>
          <w:szCs w:val="36"/>
        </w:rPr>
        <w:t xml:space="preserve">**ثم اسمَعْ خاتمةَ الخبَر ـ ومن أينَ تأتي الهزيمة:** قال عمرُو بنُ سَلِمةَ ـ أحدُ الرواة:</w:t>
      </w:r>
    </w:p>
    <w:p>
      <w:pPr>
        <w:pBdr>
          <w:right w:val="single" w:sz="12" w:space="10" w:color="8A6A1F"/>
        </w:pBdr>
        <w:spacing w:before="120" w:after="160" w:line="320" w:lineRule="auto"/>
        <w:ind w:left="504" w:right="504"/>
        <w:jc w:val="both"/>
      </w:pPr>
      <w:r>
        <w:rPr>
          <w:b/>
          <w:bCs/>
          <w:color w:val="1F5C3A"/>
          <w:sz w:val="36"/>
          <w:szCs w:val="36"/>
        </w:rPr>
        <w:t xml:space="preserve">«فرأينا عامَّةَ أولئك الحِلَقِ يُطاعِنونا يومَ النَّهْرَوانِ مع الخوارج»</w:t>
      </w:r>
      <w:r>
        <w:rPr>
          <w:rStyle w:val="a5"/>
          <w:sz w:val="36"/>
          <w:szCs w:val="36"/>
        </w:rPr>
        <w:footnoteReference w:id="7"/>
      </w:r>
    </w:p>
    <w:p>
      <w:pPr>
        <w:spacing w:after="140" w:line="340" w:lineRule="auto"/>
        <w:jc w:val="both"/>
      </w:pPr>
      <w:r>
        <w:rPr>
          <w:color w:val="1A1A1A"/>
          <w:sz w:val="36"/>
          <w:szCs w:val="36"/>
        </w:rPr>
        <w:t xml:space="preserve">**فصاحبُ البدعةِ هذا هو الذي يُقاتِلُك غدًا؛ وهو الذي يَطعَنُ في الأمَّة، وهو الذي يبيعُ دينَها.**</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فالحذَرَ الحذَرَ من دُعاةِ الباطلِ بحُجَّةِ </w:t>
      </w:r>
      <w:r>
        <w:rPr>
          <w:b/>
          <w:bCs/>
          <w:color w:val="1F5C3A"/>
          <w:sz w:val="36"/>
          <w:szCs w:val="36"/>
        </w:rPr>
        <w:t xml:space="preserve">«الذِّكرِ الجماعيّ»</w:t>
      </w:r>
      <w:r>
        <w:rPr>
          <w:color w:val="1A1A1A"/>
          <w:sz w:val="36"/>
          <w:szCs w:val="36"/>
        </w:rPr>
        <w:t xml:space="preserve">. **اذكُرْ ربَّك وحدَك، واحرِصْ أن تذكُرَه كما ذكَرَه محمدٌ ﷺ وكما ذكَرَه أبو بكرٍ وعمرُ ﵄؛ وإيّاك أن يصدُقَ فيك قولُ ابنِ مسعود: </w:t>
      </w:r>
      <w:r>
        <w:rPr>
          <w:b/>
          <w:bCs/>
          <w:color w:val="1F5C3A"/>
          <w:sz w:val="36"/>
          <w:szCs w:val="36"/>
        </w:rPr>
        <w:t xml:space="preserve">«ما أسرَعَ هَلَكتَكم!»</w:t>
      </w:r>
      <w:r>
        <w:rPr>
          <w:color w:val="1A1A1A"/>
          <w:sz w:val="36"/>
          <w:szCs w:val="36"/>
        </w:rPr>
        <w:t xml:space="preserve">**</w:t>
      </w:r>
    </w:p>
    <w:p>
      <w:pPr>
        <w:spacing w:after="140" w:line="340" w:lineRule="auto"/>
        <w:jc w:val="both"/>
      </w:pPr>
      <w:r>
        <w:rPr>
          <w:color w:val="1A1A1A"/>
          <w:sz w:val="36"/>
          <w:szCs w:val="36"/>
        </w:rPr>
        <w:t xml:space="preserve">أسألُ اللهَ جلَّ في عُلاه أن يُعينَني وإياكم على ذِكرِه وشُكرِه وحُسنِ عبادتِه، وعلى اتِّباعِ السنَّةِ والثباتِ على التوحيد؛ إنه وليُّ ذلك والقادرُ عليه.</w:t>
      </w:r>
    </w:p>
    <w:p>
      <w:pPr>
        <w:spacing w:after="140" w:line="340" w:lineRule="auto"/>
        <w:jc w:val="both"/>
      </w:pPr>
      <w:r>
        <w:rPr>
          <w:color w:val="1A1A1A"/>
          <w:sz w:val="36"/>
          <w:szCs w:val="36"/>
        </w:rPr>
        <w:t xml:space="preserve">اللهم اجعَلْنا من الذاكرينَ اللهَ كثيرًا والذاكرات. 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والحاكمُ من حديث أبي الدرداء ﵁، وصححه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موسى الأشعريِّ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عليِّ بن أبي طالبٍ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نقلَه ابنُ القيِّمِ ﵀ عن شيخِه في «الوابل الصيب» و«مدارج السالكين».</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وضّاحٍ في «البدع والنهي عنها» عن أبي عثمانَ النَّهْديِّ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الدارِميُّ في «سُنَنِه» بإسنادٍ صحيح، وصحَّحَه جماعةٌ من أهلِ العلم.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