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النفسُ اللوّامة</w:t>
      </w:r>
    </w:p>
    <w:p>
      <w:pPr>
        <w:spacing w:after="120"/>
      </w:pPr>
      <w:r>
        <w:rPr>
          <w:color w:val="8A6A1F"/>
          <w:sz w:val="36"/>
          <w:szCs w:val="36"/>
        </w:rPr>
        <w:t xml:space="preserve">صورتاها: اللَّومُ على فواتِ الخير، واللَّومُ على الوقوعِ في الشرّ</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قسَمٌ عجيب</w:t>
      </w:r>
    </w:p>
    <w:p>
      <w:pPr>
        <w:spacing w:after="140" w:line="340" w:lineRule="auto"/>
        <w:jc w:val="both"/>
      </w:pPr>
      <w:r>
        <w:rPr>
          <w:color w:val="1A1A1A"/>
          <w:sz w:val="36"/>
          <w:szCs w:val="36"/>
        </w:rPr>
        <w:t xml:space="preserve">وبعدُ، أحبَّتي في الله، معاشرَ المصلِّين: ما هذا القسَمُ العجيب؟ واللهُ لا يُقسِمُ بشيءٍ إلا وله شأنٌ ومنزلةٌ عنده سبحانه:</w:t>
      </w:r>
    </w:p>
    <w:p>
      <w:pPr>
        <w:pBdr>
          <w:right w:val="single" w:sz="12" w:space="10" w:color="8A6A1F"/>
        </w:pBdr>
        <w:spacing w:before="120" w:after="160" w:line="320" w:lineRule="auto"/>
        <w:ind w:left="504" w:right="504"/>
        <w:jc w:val="both"/>
      </w:pPr>
      <w:r>
        <w:rPr>
          <w:b/>
          <w:bCs/>
          <w:color w:val="8A6A1F"/>
          <w:sz w:val="36"/>
          <w:szCs w:val="36"/>
        </w:rPr>
        <w:t xml:space="preserve">﴿لَا أُقْسِمُ بِيَوْمِ الْقِيَامَةِ ۝ وَلَا أُقْسِمُ بِالنَّفْسِ اللَّوَّامَةِ﴾</w:t>
      </w:r>
    </w:p>
    <w:p>
      <w:pPr>
        <w:spacing w:after="140" w:line="340" w:lineRule="auto"/>
        <w:jc w:val="both"/>
      </w:pPr>
      <w:r>
        <w:rPr>
          <w:color w:val="1A1A1A"/>
          <w:sz w:val="36"/>
          <w:szCs w:val="36"/>
        </w:rPr>
        <w:t xml:space="preserve">إنها **النفسُ اللوّامة**؛ ولها صورتان هما محورا خطبتي اليوم: نفسٌ تلومُ صاحبَها على فواتِ الخير، ونفسٌ تلومُه على الوقوعِ في الشرّ.</w:t>
      </w:r>
    </w:p>
    <w:p>
      <w:pPr>
        <w:spacing w:before="260" w:after="120"/>
      </w:pPr>
      <w:r>
        <w:rPr>
          <w:b/>
          <w:bCs/>
          <w:color w:val="1F5C3A"/>
          <w:sz w:val="36"/>
          <w:szCs w:val="36"/>
        </w:rPr>
        <w:t xml:space="preserve">أولًا: اللَّومُ على فواتِ الخير</w:t>
      </w:r>
    </w:p>
    <w:p>
      <w:pPr>
        <w:spacing w:after="140" w:line="340" w:lineRule="auto"/>
        <w:jc w:val="both"/>
      </w:pPr>
      <w:r>
        <w:rPr>
          <w:color w:val="1A1A1A"/>
          <w:sz w:val="36"/>
          <w:szCs w:val="36"/>
        </w:rPr>
        <w:t xml:space="preserve">فهذه النفسُ يا كرام: هل ألامَتْك على فواتِ صلاةِ الفجر فحاسبتَها؟ هل ألامَتْك على طاعةٍ ضيَّعتَها؟ فاتَتْك الجمعة، فاتَتْك سورةُ الكهف، فاتَتْك صِلَةُ الأرحام... ثم لم يتحرَّكْ قلبُك؟ أَحسَنَ اللهُ عزاءَك فيه!</w:t>
      </w:r>
    </w:p>
    <w:p>
      <w:pPr>
        <w:spacing w:after="140" w:line="340" w:lineRule="auto"/>
        <w:jc w:val="both"/>
      </w:pPr>
      <w:r>
        <w:rPr>
          <w:color w:val="1A1A1A"/>
          <w:sz w:val="36"/>
          <w:szCs w:val="36"/>
        </w:rPr>
        <w:t xml:space="preserve">فإنّ نفسَ المؤمنِ تلومُه على كلِّ طاعةٍ فاتَتْ؛ بل أقولُها بصراحة: إنّ نفسَ العبدِ التقيِّ تكادُ تتقطَّعُ حسرةً على فواتِ الطاعة، يُعزّى إن فاتَتْه تكبيرةُ الإحرام، وإن تخلَّفَ عن الصفِّ الأول.</w:t>
      </w:r>
    </w:p>
    <w:p>
      <w:pPr>
        <w:spacing w:after="140" w:line="340" w:lineRule="auto"/>
        <w:jc w:val="both"/>
      </w:pPr>
      <w:r>
        <w:rPr>
          <w:color w:val="1A1A1A"/>
          <w:sz w:val="36"/>
          <w:szCs w:val="36"/>
        </w:rPr>
        <w:t xml:space="preserve">فهيّا نسألُ أنفسَنا: كم طاعةً فاتَتْ ولم تُفكِّرْ في فواتِها؟ ما ملأَ النَّدَمُ قلبَك، ولا لُمتَ نفسَك فقلتَ: سبَقَني الناسُ في قراءةِ القرآنِ فأين كنتُ أنا؟</w:t>
      </w:r>
    </w:p>
    <w:p>
      <w:pPr>
        <w:spacing w:before="200" w:after="100"/>
      </w:pPr>
      <w:r>
        <w:rPr>
          <w:b/>
          <w:bCs/>
          <w:color w:val="1A1A1A"/>
          <w:sz w:val="36"/>
          <w:szCs w:val="36"/>
        </w:rPr>
        <w:t xml:space="preserve">ابنُ عمرَ ﵄ والقيراطان</w:t>
      </w:r>
    </w:p>
    <w:p>
      <w:pPr>
        <w:spacing w:after="140" w:line="340" w:lineRule="auto"/>
        <w:jc w:val="both"/>
      </w:pPr>
      <w:r>
        <w:rPr>
          <w:color w:val="1A1A1A"/>
          <w:sz w:val="36"/>
          <w:szCs w:val="36"/>
        </w:rPr>
        <w:t xml:space="preserve">سمِعَ ابنُ عمرَ حديثَ أبي هريرةَ ﵁: **</w:t>
      </w:r>
      <w:r>
        <w:rPr>
          <w:b/>
          <w:bCs/>
          <w:color w:val="1F5C3A"/>
          <w:sz w:val="36"/>
          <w:szCs w:val="36"/>
        </w:rPr>
        <w:t xml:space="preserve">«من شهِدَ الجنازةَ حتى يُصلَّى عليها فله قيراط، ومن شهِدَها حتى تُدفَنَ فله قيراطان»</w:t>
      </w:r>
      <w:r>
        <w:rPr>
          <w:color w:val="1A1A1A"/>
          <w:sz w:val="36"/>
          <w:szCs w:val="36"/>
        </w:rPr>
        <w:t xml:space="preserve">**؛ فقال ابنُ عمر: أكثَرَ علينا أبو هريرة! فأرسلَ إلى عائشةَ ﵂ فصدَّقَتْه؛ فضربَ ابنُ عمرَ بالحصى في يدِه الأرضَ وقال:</w:t>
      </w:r>
    </w:p>
    <w:p>
      <w:pPr>
        <w:pBdr>
          <w:right w:val="single" w:sz="12" w:space="10" w:color="8A6A1F"/>
        </w:pBdr>
        <w:spacing w:before="120" w:after="160" w:line="320" w:lineRule="auto"/>
        <w:ind w:left="504" w:right="504"/>
        <w:jc w:val="both"/>
      </w:pPr>
      <w:r>
        <w:rPr>
          <w:b/>
          <w:bCs/>
          <w:color w:val="1F5C3A"/>
          <w:sz w:val="36"/>
          <w:szCs w:val="36"/>
        </w:rPr>
        <w:t xml:space="preserve">«لقد فرَّطْنا في قراريطَ كثيرة!»</w:t>
      </w:r>
      <w:r>
        <w:rPr>
          <w:rStyle w:val="a5"/>
          <w:sz w:val="36"/>
          <w:szCs w:val="36"/>
        </w:rPr>
        <w:footnoteReference w:id="1"/>
      </w:r>
    </w:p>
    <w:p>
      <w:pPr>
        <w:spacing w:after="140" w:line="340" w:lineRule="auto"/>
        <w:jc w:val="both"/>
      </w:pPr>
      <w:r>
        <w:rPr>
          <w:color w:val="1A1A1A"/>
          <w:sz w:val="36"/>
          <w:szCs w:val="36"/>
        </w:rPr>
        <w:t xml:space="preserve">يتحسَّرُ على نافلةٍ فاتَتْه!</w:t>
      </w:r>
    </w:p>
    <w:p>
      <w:pPr>
        <w:spacing w:before="200" w:after="100"/>
      </w:pPr>
      <w:r>
        <w:rPr>
          <w:b/>
          <w:bCs/>
          <w:color w:val="1A1A1A"/>
          <w:sz w:val="36"/>
          <w:szCs w:val="36"/>
        </w:rPr>
        <w:t xml:space="preserve">أنسُ بنُ النَّضْرِ ﵁</w:t>
      </w:r>
    </w:p>
    <w:p>
      <w:pPr>
        <w:spacing w:after="140" w:line="340" w:lineRule="auto"/>
        <w:jc w:val="both"/>
      </w:pPr>
      <w:r>
        <w:rPr>
          <w:color w:val="1A1A1A"/>
          <w:sz w:val="36"/>
          <w:szCs w:val="36"/>
        </w:rPr>
        <w:t xml:space="preserve">غابَ عن بدرٍ فقال: يا رسولَ الله، غِبتُ عن أوَّلِ قتالٍ قاتلتَ فيه المشركين؛ لئنِ اللهُ أشهدَني قتالَ المشركين لَيَرَيَنَّ اللهُ ما أصنع. فلمّا كان يومُ أُحُدٍ لقيَ سعدَ بنَ معاذٍ فقال: **</w:t>
      </w:r>
      <w:r>
        <w:rPr>
          <w:b/>
          <w:bCs/>
          <w:color w:val="1F5C3A"/>
          <w:sz w:val="36"/>
          <w:szCs w:val="36"/>
        </w:rPr>
        <w:t xml:space="preserve">«يا سعد، الجنةَ! ورَبِّ النَّضْرِ إني لَأجِدُ ريحَها دونَ أُحُد»</w:t>
      </w:r>
      <w:r>
        <w:rPr>
          <w:color w:val="1A1A1A"/>
          <w:sz w:val="36"/>
          <w:szCs w:val="36"/>
        </w:rPr>
        <w:t xml:space="preserve">**. ثم قاتلَ حتى قُتِل؛ فوُجِدَ به بِضعٌ وثمانون ضربةً بسيفٍ أو طعنةً برُمحٍ أو رَميةً بسهم، فما عرَفَه أحدٌ حتى عرَفَتْه أختُه ببَنانِه.</w:t>
      </w:r>
      <w:r>
        <w:rPr>
          <w:rStyle w:val="a5"/>
          <w:sz w:val="36"/>
          <w:szCs w:val="36"/>
        </w:rPr>
        <w:footnoteReference w:id="2"/>
      </w:r>
    </w:p>
    <w:p>
      <w:pPr>
        <w:spacing w:after="140" w:line="340" w:lineRule="auto"/>
        <w:jc w:val="both"/>
      </w:pPr>
      <w:r>
        <w:rPr>
          <w:color w:val="1A1A1A"/>
          <w:sz w:val="36"/>
          <w:szCs w:val="36"/>
        </w:rPr>
        <w:t xml:space="preserve">ما الذي حمَلَه على هذا؟ **مشهدٌ فاتَه فلامَتْه نفسُه!** فكم من المشاهدِ فاتَتْك ثم لم يتحرَّكْ قلبُك؟</w:t>
      </w:r>
    </w:p>
    <w:p>
      <w:pPr>
        <w:spacing w:before="200" w:after="100"/>
      </w:pPr>
      <w:r>
        <w:rPr>
          <w:b/>
          <w:bCs/>
          <w:color w:val="1A1A1A"/>
          <w:sz w:val="36"/>
          <w:szCs w:val="36"/>
        </w:rPr>
        <w:t xml:space="preserve">عبدُ اللهِ بنُ رَواحةَ ﵁</w:t>
      </w:r>
    </w:p>
    <w:p>
      <w:pPr>
        <w:spacing w:after="140" w:line="340" w:lineRule="auto"/>
        <w:jc w:val="both"/>
      </w:pPr>
      <w:r>
        <w:rPr>
          <w:color w:val="1A1A1A"/>
          <w:sz w:val="36"/>
          <w:szCs w:val="36"/>
        </w:rPr>
        <w:t xml:space="preserve">في مُؤتة، لمّا قُتِلَ زيدٌ ثم جعفرٌ ﵄، دُفِعَتِ الرايةُ إلى عبدِ اللهِ بنِ رَواحة؛ فتردَّدَ بعضَ التردُّد ـ وهي نفسٌ بشرية ـ فخاطبَ نفسَه بأبياتٍ منها:</w:t>
      </w:r>
    </w:p>
    <w:p>
      <w:pPr>
        <w:pBdr>
          <w:right w:val="single" w:sz="12" w:space="10" w:color="8A6A1F"/>
        </w:pBdr>
        <w:spacing w:before="120" w:after="160" w:line="320" w:lineRule="auto"/>
        <w:ind w:left="504" w:right="504"/>
        <w:jc w:val="both"/>
      </w:pPr>
      <w:r>
        <w:rPr>
          <w:b/>
          <w:bCs/>
          <w:color w:val="1F5C3A"/>
          <w:sz w:val="36"/>
          <w:szCs w:val="36"/>
        </w:rPr>
        <w:t xml:space="preserve">أَقسَمتُ يا نَفْسُ لَتَنزِلِنَّهْ ... طائعةً أو لَتُكرَهِنَّهْ</w:t>
      </w:r>
    </w:p>
    <w:p>
      <w:pPr>
        <w:spacing w:after="140" w:line="340" w:lineRule="auto"/>
        <w:jc w:val="both"/>
      </w:pPr>
      <w:r>
        <w:rPr>
          <w:color w:val="1A1A1A"/>
          <w:sz w:val="36"/>
          <w:szCs w:val="36"/>
        </w:rPr>
        <w:t xml:space="preserve">ثم تقدَّمَ فقاتلَ حتى لحِقَ بصاحبَيه ﵃.</w:t>
      </w:r>
      <w:r>
        <w:rPr>
          <w:rStyle w:val="a5"/>
          <w:sz w:val="36"/>
          <w:szCs w:val="36"/>
        </w:rPr>
        <w:footnoteReference w:id="3"/>
      </w:r>
    </w:p>
    <w:p>
      <w:pPr>
        <w:spacing w:after="140" w:line="340" w:lineRule="auto"/>
        <w:jc w:val="both"/>
      </w:pPr>
      <w:r>
        <w:rPr>
          <w:color w:val="1A1A1A"/>
          <w:sz w:val="36"/>
          <w:szCs w:val="36"/>
        </w:rPr>
        <w:t xml:space="preserve">فحاسِبْ نفسَك إذا ترَدَّدْتَ عن طاعة، وقُلْ: أقسمتُ يا نفسُ لَتكونِنَّ مع أهلِ الفجرِ والأسحار، ومع قُرّاءِ القرآنِ وطلبةِ العلمِ وأهلِ الصدقةِ والإحسان.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اللَّومُ على الوقوعِ في الشرّ</w:t>
      </w:r>
    </w:p>
    <w:p>
      <w:pPr>
        <w:spacing w:after="140" w:line="340" w:lineRule="auto"/>
        <w:jc w:val="both"/>
      </w:pPr>
      <w:r>
        <w:rPr>
          <w:color w:val="1A1A1A"/>
          <w:sz w:val="36"/>
          <w:szCs w:val="36"/>
        </w:rPr>
        <w:t xml:space="preserve">فإن كانت نفسُك تلومُك على كلِّ ذنبٍ اقترفتَه فاحمَدِ الله؛ فإنّ القلبَ لا يزالُ حيًّا. وأمّا إن كنتَ تفعلُ الذنبَ تِلوَ الذنبِ ثم لا يتحرَّكُ قلبُك ولا تُحاسِبُ نفسَك، فاعلَمْ أنّ القلبَ قد ماتَ أو شارَفَ على الموت.</w:t>
      </w:r>
    </w:p>
    <w:p>
      <w:pPr>
        <w:spacing w:after="140" w:line="340" w:lineRule="auto"/>
        <w:jc w:val="both"/>
      </w:pPr>
      <w:r>
        <w:rPr>
          <w:color w:val="1A1A1A"/>
          <w:sz w:val="36"/>
          <w:szCs w:val="36"/>
        </w:rPr>
        <w:t xml:space="preserve">فلنسألْ أنفسَنا: كم ذنبًا فعلْناه ثم ما حاسبْنا أنفسَنا عليه؟ وقد قال الحسنُ البصريُّ ﵀:</w:t>
      </w:r>
    </w:p>
    <w:p>
      <w:pPr>
        <w:pBdr>
          <w:right w:val="single" w:sz="12" w:space="10" w:color="8A6A1F"/>
        </w:pBdr>
        <w:spacing w:before="120" w:after="160" w:line="320" w:lineRule="auto"/>
        <w:ind w:left="504" w:right="504"/>
        <w:jc w:val="both"/>
      </w:pPr>
      <w:r>
        <w:rPr>
          <w:b/>
          <w:bCs/>
          <w:color w:val="1F5C3A"/>
          <w:sz w:val="36"/>
          <w:szCs w:val="36"/>
        </w:rPr>
        <w:t xml:space="preserve">«إنما خفَّ الحسابُ يومَ القيامةِ على قومٍ حاسبوا أنفسَهم في الدنيا»</w:t>
      </w:r>
      <w:r>
        <w:rPr>
          <w:rStyle w:val="a5"/>
          <w:sz w:val="36"/>
          <w:szCs w:val="36"/>
        </w:rPr>
        <w:footnoteReference w:id="4"/>
      </w:r>
    </w:p>
    <w:p>
      <w:pPr>
        <w:spacing w:before="200" w:after="100"/>
      </w:pPr>
      <w:r>
        <w:rPr>
          <w:b/>
          <w:bCs/>
          <w:color w:val="1A1A1A"/>
          <w:sz w:val="36"/>
          <w:szCs w:val="36"/>
        </w:rPr>
        <w:t xml:space="preserve">عمرُ ﵁ يُحاسِبُ نفسَه</w:t>
      </w:r>
    </w:p>
    <w:p>
      <w:pPr>
        <w:spacing w:after="140" w:line="340" w:lineRule="auto"/>
        <w:jc w:val="both"/>
      </w:pPr>
      <w:r>
        <w:rPr>
          <w:color w:val="1A1A1A"/>
          <w:sz w:val="36"/>
          <w:szCs w:val="36"/>
        </w:rPr>
        <w:t xml:space="preserve">يقولُ أنسٌ ﵁: تبِعتُ عمرَ ذاتَ يومٍ فدخلَ حائطًا، فسمِعتُه يقولُ ـ وبيني وبينه جِدار:</w:t>
      </w:r>
    </w:p>
    <w:p>
      <w:pPr>
        <w:pBdr>
          <w:right w:val="single" w:sz="12" w:space="10" w:color="8A6A1F"/>
        </w:pBdr>
        <w:spacing w:before="120" w:after="160" w:line="320" w:lineRule="auto"/>
        <w:ind w:left="504" w:right="504"/>
        <w:jc w:val="both"/>
      </w:pPr>
      <w:r>
        <w:rPr>
          <w:b/>
          <w:bCs/>
          <w:color w:val="1F5C3A"/>
          <w:sz w:val="36"/>
          <w:szCs w:val="36"/>
        </w:rPr>
        <w:t xml:space="preserve">«أميرُ المؤمنين؟! بَخٍ بَخٍ! واللهِ لَتتَّقِيَنَّ اللهَ يا بنَ الخطابِ أو لَيُعذِّبَنَّك»</w:t>
      </w:r>
      <w:r>
        <w:rPr>
          <w:rStyle w:val="a5"/>
          <w:sz w:val="36"/>
          <w:szCs w:val="36"/>
        </w:rPr>
        <w:footnoteReference w:id="5"/>
      </w:r>
    </w:p>
    <w:p>
      <w:pPr>
        <w:spacing w:after="140" w:line="340" w:lineRule="auto"/>
        <w:jc w:val="both"/>
      </w:pPr>
      <w:r>
        <w:rPr>
          <w:color w:val="1A1A1A"/>
          <w:sz w:val="36"/>
          <w:szCs w:val="36"/>
        </w:rPr>
        <w:t xml:space="preserve">يُصغِّرُ نفسَه وهو الذي فُتِحَتْ على يدَيه فارسُ والروم!</w:t>
      </w:r>
    </w:p>
    <w:p>
      <w:pPr>
        <w:spacing w:before="200" w:after="100"/>
      </w:pPr>
      <w:r>
        <w:rPr>
          <w:b/>
          <w:bCs/>
          <w:color w:val="1A1A1A"/>
          <w:sz w:val="36"/>
          <w:szCs w:val="36"/>
        </w:rPr>
        <w:t xml:space="preserve">كيف يرى المؤمنُ ذنبَه؟</w:t>
      </w:r>
    </w:p>
    <w:p>
      <w:pPr>
        <w:spacing w:after="140" w:line="340" w:lineRule="auto"/>
        <w:jc w:val="both"/>
      </w:pPr>
      <w:r>
        <w:rPr>
          <w:color w:val="1A1A1A"/>
          <w:sz w:val="36"/>
          <w:szCs w:val="36"/>
        </w:rPr>
        <w:t xml:space="preserve">قال ابنُ مسعودٍ ﵁:</w:t>
      </w:r>
    </w:p>
    <w:p>
      <w:pPr>
        <w:pBdr>
          <w:right w:val="single" w:sz="12" w:space="10" w:color="8A6A1F"/>
        </w:pBdr>
        <w:spacing w:before="120" w:after="160" w:line="320" w:lineRule="auto"/>
        <w:ind w:left="504" w:right="504"/>
        <w:jc w:val="both"/>
      </w:pPr>
      <w:r>
        <w:rPr>
          <w:b/>
          <w:bCs/>
          <w:color w:val="1F5C3A"/>
          <w:sz w:val="36"/>
          <w:szCs w:val="36"/>
        </w:rPr>
        <w:t xml:space="preserve">«إنّ المؤمنَ يرى ذنوبَه كأنه قاعدٌ تحت جبلٍ يخافُ أن يقعَ عليه، وإنّ الفاجرَ يرى ذنوبَه كذُبابٍ مرَّ على أنفِه فقال به هكذا»</w:t>
      </w:r>
      <w:r>
        <w:rPr>
          <w:rStyle w:val="a5"/>
          <w:sz w:val="36"/>
          <w:szCs w:val="36"/>
        </w:rPr>
        <w:footnoteReference w:id="6"/>
      </w:r>
    </w:p>
    <w:p>
      <w:pPr>
        <w:spacing w:after="140" w:line="340" w:lineRule="auto"/>
        <w:jc w:val="both"/>
      </w:pPr>
      <w:r>
        <w:rPr>
          <w:color w:val="1A1A1A"/>
          <w:sz w:val="36"/>
          <w:szCs w:val="36"/>
        </w:rPr>
        <w:t xml:space="preserve">فحين تقومُ من مجلسِ غِيبة: كيف ترى ذنبَك؟ أَجبَلًا يكادُ يسقُطُ عليك، أم ذُبابًا تُطيِّرُه بيدِك؟</w:t>
      </w:r>
    </w:p>
    <w:p>
      <w:pPr>
        <w:spacing w:before="200" w:after="100"/>
      </w:pPr>
      <w:r>
        <w:rPr>
          <w:b/>
          <w:bCs/>
          <w:color w:val="1A1A1A"/>
          <w:sz w:val="36"/>
          <w:szCs w:val="36"/>
        </w:rPr>
        <w:t xml:space="preserve">من محاسبةِ السلف</w:t>
      </w:r>
    </w:p>
    <w:p>
      <w:pPr>
        <w:spacing w:after="140" w:line="340" w:lineRule="auto"/>
        <w:jc w:val="both"/>
      </w:pPr>
      <w:r>
        <w:rPr>
          <w:color w:val="1A1A1A"/>
          <w:sz w:val="36"/>
          <w:szCs w:val="36"/>
        </w:rPr>
        <w:t xml:space="preserve">كان الأحنَفُ بنُ قيسٍ ﵀ يُصلِّي من الليلِ ما شاء الله، ثم يأتي المِصباحَ فيُدني إصبعَه من النارِ ويقول: **</w:t>
      </w:r>
      <w:r>
        <w:rPr>
          <w:b/>
          <w:bCs/>
          <w:color w:val="1F5C3A"/>
          <w:sz w:val="36"/>
          <w:szCs w:val="36"/>
        </w:rPr>
        <w:t xml:space="preserve">«يا حُنَيف! ما حمَلَك على ما صنعتَ يومَ كذا وكذا؟»</w:t>
      </w:r>
      <w:r>
        <w:rPr>
          <w:color w:val="1A1A1A"/>
          <w:sz w:val="36"/>
          <w:szCs w:val="36"/>
        </w:rPr>
        <w:t xml:space="preserve">**</w:t>
      </w:r>
      <w:r>
        <w:rPr>
          <w:rStyle w:val="a5"/>
          <w:sz w:val="36"/>
          <w:szCs w:val="36"/>
        </w:rPr>
        <w:footnoteReference w:id="7"/>
      </w:r>
    </w:p>
    <w:p>
      <w:pPr>
        <w:spacing w:after="140" w:line="340" w:lineRule="auto"/>
        <w:jc w:val="both"/>
      </w:pPr>
      <w:r>
        <w:rPr>
          <w:color w:val="1A1A1A"/>
          <w:sz w:val="36"/>
          <w:szCs w:val="36"/>
        </w:rPr>
        <w:t xml:space="preserve">وسفيانُ الثوريُّ ﵀ كانت له رُقعةٌ يُخرِجُها كلَّ حينٍ فينظُرُ فيها، فإذا فيها: **</w:t>
      </w:r>
      <w:r>
        <w:rPr>
          <w:b/>
          <w:bCs/>
          <w:color w:val="1F5C3A"/>
          <w:sz w:val="36"/>
          <w:szCs w:val="36"/>
        </w:rPr>
        <w:t xml:space="preserve">«تذكَّرْ وقوفَك بين يدَيِ الله»</w:t>
      </w:r>
      <w:r>
        <w:rPr>
          <w:color w:val="1A1A1A"/>
          <w:sz w:val="36"/>
          <w:szCs w:val="36"/>
        </w:rPr>
        <w:t xml:space="preserve">**.</w:t>
      </w:r>
      <w:r>
        <w:rPr>
          <w:rStyle w:val="a5"/>
          <w:sz w:val="36"/>
          <w:szCs w:val="36"/>
        </w:rPr>
        <w:footnoteReference w:id="8"/>
      </w:r>
    </w:p>
    <w:p>
      <w:pPr>
        <w:spacing w:after="140" w:line="340" w:lineRule="auto"/>
        <w:jc w:val="both"/>
      </w:pPr>
      <w:r>
        <w:rPr>
          <w:color w:val="1A1A1A"/>
          <w:sz w:val="36"/>
          <w:szCs w:val="36"/>
        </w:rPr>
        <w:t xml:space="preserve">وهذا الإمامُ أحمدُ ﵀ لمّا أثنى عليه الناسُ وقال له صاحبُه المَرُّوذيُّ: إني لأرجو أن يُدعى لك في الأمصار، قال:</w:t>
      </w:r>
    </w:p>
    <w:p>
      <w:pPr>
        <w:pBdr>
          <w:right w:val="single" w:sz="12" w:space="10" w:color="8A6A1F"/>
        </w:pBdr>
        <w:spacing w:before="120" w:after="160" w:line="320" w:lineRule="auto"/>
        <w:ind w:left="504" w:right="504"/>
        <w:jc w:val="both"/>
      </w:pPr>
      <w:r>
        <w:rPr>
          <w:b/>
          <w:bCs/>
          <w:color w:val="1F5C3A"/>
          <w:sz w:val="36"/>
          <w:szCs w:val="36"/>
        </w:rPr>
        <w:t xml:space="preserve">«إذا عرَفَ الرجلُ نفسَه لم ينفَعْه كلامُ الناس»</w:t>
      </w:r>
      <w:r>
        <w:rPr>
          <w:rStyle w:val="a5"/>
          <w:sz w:val="36"/>
          <w:szCs w:val="36"/>
        </w:rPr>
        <w:footnoteReference w:id="9"/>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فكونوا أصحابَ نفوسٍ لوّامةٍ تسألُ: لِمَ فعلتُ يومَ كذا وكذا؟ وهل كانت صلاتي وصدقتي خالصةً لله؟ وماذا قدَّمتُ لإخواني المسلمين في مِحَنِهم؟ هل لُمتَ نفسَك أنك ما دعَوت؟ أو ما تصدَّقت؟</w:t>
      </w:r>
    </w:p>
    <w:p>
      <w:pPr>
        <w:spacing w:after="140" w:line="340" w:lineRule="auto"/>
        <w:jc w:val="both"/>
      </w:pPr>
      <w:r>
        <w:rPr>
          <w:color w:val="1A1A1A"/>
          <w:sz w:val="36"/>
          <w:szCs w:val="36"/>
        </w:rPr>
        <w:t xml:space="preserve">فإنها لَمصيبةٌ أن نلقى اللهَ بنفوسٍ لا هي مطمئنَّةٌ ولا هي لوّامة!</w:t>
      </w:r>
    </w:p>
    <w:p>
      <w:pPr>
        <w:spacing w:after="140" w:line="340" w:lineRule="auto"/>
        <w:jc w:val="both"/>
      </w:pPr>
      <w:r>
        <w:rPr>
          <w:color w:val="1A1A1A"/>
          <w:sz w:val="36"/>
          <w:szCs w:val="36"/>
        </w:rPr>
        <w:t xml:space="preserve">أسألُ اللهَ العظيمَ ربَّ العرشِ العظيمِ أن يُؤتيَ نفوسَنا تقواها، وأن يُزكِّيَها وهو خيرُ من زكّاها؛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إنك على كلِّ شيءٍ قدير.</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وأبي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 في قصةِ عمِّه أنسِ بنِ النَّضْر.</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مغازي مُؤتةَ؛ رواها ابنُ إسحاقَ في «السيرة» والطبريُّ وغيرُهما، والأبياتُ مشهورةٌ عن عبد الله بن رَواحة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أحمدُ في «الزهد» وابنُ أبي الدنيا في «محاسبة النفس».</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رواه ابنُ أبي شيبةَ وأحمدُ في «الزهد».</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مسعود ﵁ موقوفًا.</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الأحنَفِ بنِ قيسٍ ﵀؛ ذكرَه أبو نُعيمٍ في «الحلية».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سفيانَ الثوريِّ ﵀ في «الحلية» و«السير».</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رواها ابنُ الجوزيِّ في «المناقب».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