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bidi/>
        <w:spacing w:after="60" w:before="200" w:line="360"/>
        <w:jc w:val="right"/>
      </w:pPr>
      <w:r>
        <w:rPr>
          <w:rFonts w:ascii="Traditional Arabic" w:cs="Traditional Arabic" w:eastAsia="Traditional Arabic" w:hAnsi="Traditional Arabic"/>
          <w:b w:val="false"/>
          <w:bCs w:val="false"/>
          <w:i w:val="false"/>
          <w:iCs w:val="false"/>
          <w:color w:val="8A6F4E"/>
          <w:sz w:val="24"/>
          <w:szCs w:val="24"/>
          <w:rtl/>
        </w:rPr>
        <w:t xml:space="preserve">الخطبة </w:t>
      </w:r>
    </w:p>
    <w:p>
      <w:pPr>
        <w:pBdr>
          <w:bottom w:val="single" w:color="5B3A29" w:sz="12" w:space="8"/>
        </w:pBdr>
        <w:bidi/>
        <w:spacing w:after="60" w:line="380"/>
        <w:jc w:val="right"/>
      </w:pPr>
      <w:r>
        <w:rPr>
          <w:rFonts w:ascii="Traditional Arabic" w:cs="Traditional Arabic" w:eastAsia="Traditional Arabic" w:hAnsi="Traditional Arabic"/>
          <w:b/>
          <w:bCs/>
          <w:i w:val="false"/>
          <w:iCs w:val="false"/>
          <w:color w:val="5B3A29"/>
          <w:sz w:val="40"/>
          <w:szCs w:val="40"/>
          <w:rtl/>
        </w:rPr>
        <w:t xml:space="preserve">أكلُ أموالِ الناسِ بالباطل</w:t>
      </w:r>
    </w:p>
    <w:p>
      <w:pPr>
        <w:bidi/>
        <w:spacing w:after="240" w:line="340"/>
        <w:jc w:val="right"/>
      </w:pPr>
      <w:r>
        <w:rPr>
          <w:rFonts w:ascii="Traditional Arabic" w:cs="Traditional Arabic" w:eastAsia="Traditional Arabic" w:hAnsi="Traditional Arabic"/>
          <w:b w:val="false"/>
          <w:bCs w:val="false"/>
          <w:i w:val="false"/>
          <w:iCs w:val="false"/>
          <w:color w:val="6B6B6B"/>
          <w:sz w:val="24"/>
          <w:szCs w:val="24"/>
          <w:rtl/>
        </w:rPr>
        <w:t xml:space="preserve">صُوَرُه وآثارُه في الدنيا والآخرة</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 ﷺ. ﴿يَا أَيُّهَا الَّذِينَ آمَنُوا اتَّقُوا اللَّهَ حَقَّ تُقَاتِهِ وَلَا تَمُوتُنَّ إِلَّا وَأَنتُم مُّسْلِمُونَ﴾. أمّا بعدُ، فإنّ أصدقَ الحديثِ كتابُ الله، وخيرَ الهَدْيِ هديُ محمدٍ ﷺ، وشرَّ الأمورِ محدثاتُها، وكلَّ محدثةٍ بدعة، وكلَّ بدعةٍ ضلالة، وكلَّ ضلالةٍ في النار.</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الخطبة الأولى</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وبعدُ، أحبتي في الله: </w:t>
      </w:r>
      <w:r>
        <w:rPr>
          <w:rFonts w:ascii="Traditional Arabic" w:cs="Traditional Arabic" w:eastAsia="Traditional Arabic" w:hAnsi="Traditional Arabic"/>
          <w:b/>
          <w:bCs/>
          <w:i w:val="false"/>
          <w:iCs w:val="false"/>
          <w:sz w:val="28"/>
          <w:szCs w:val="28"/>
          <w:rtl/>
        </w:rPr>
        <w:t xml:space="preserve">يفِرُّ من الفقر وإذا به يقع فيه! يبحث عن السعادة وإذا هو غارقٌ في الشقاء</w:t>
      </w:r>
      <w:r>
        <w:rPr>
          <w:rFonts w:ascii="Traditional Arabic" w:cs="Traditional Arabic" w:eastAsia="Traditional Arabic" w:hAnsi="Traditional Arabic"/>
          <w:b w:val="false"/>
          <w:bCs w:val="false"/>
          <w:i w:val="false"/>
          <w:iCs w:val="false"/>
          <w:sz w:val="28"/>
          <w:szCs w:val="28"/>
          <w:rtl/>
        </w:rPr>
        <w:t xml:space="preserve">؛ معيشتُه ضَنكٌ لا يعرف انشراحَ الصدر، </w:t>
      </w:r>
      <w:r>
        <w:rPr>
          <w:rFonts w:ascii="Traditional Arabic" w:cs="Traditional Arabic" w:eastAsia="Traditional Arabic" w:hAnsi="Traditional Arabic"/>
          <w:b/>
          <w:bCs/>
          <w:i w:val="false"/>
          <w:iCs w:val="false"/>
          <w:sz w:val="28"/>
          <w:szCs w:val="28"/>
          <w:rtl/>
        </w:rPr>
        <w:t xml:space="preserve">معذَّبٌ قبل أن يموت</w:t>
      </w:r>
      <w:r>
        <w:rPr>
          <w:rFonts w:ascii="Traditional Arabic" w:cs="Traditional Arabic" w:eastAsia="Traditional Arabic" w:hAnsi="Traditional Arabic"/>
          <w:b w:val="false"/>
          <w:bCs w:val="false"/>
          <w:i w:val="false"/>
          <w:iCs w:val="false"/>
          <w:sz w:val="28"/>
          <w:szCs w:val="28"/>
          <w:rtl/>
        </w:rPr>
        <w:t xml:space="preserve">. فمَن هذا؟ </w:t>
      </w:r>
      <w:r>
        <w:rPr>
          <w:rFonts w:ascii="Traditional Arabic" w:cs="Traditional Arabic" w:eastAsia="Traditional Arabic" w:hAnsi="Traditional Arabic"/>
          <w:b/>
          <w:bCs/>
          <w:i w:val="false"/>
          <w:iCs w:val="false"/>
          <w:sz w:val="28"/>
          <w:szCs w:val="28"/>
          <w:rtl/>
        </w:rPr>
        <w:t xml:space="preserve">إنّه آكلُ أموال الناس بالباطل</w:t>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وقد </w:t>
      </w:r>
      <w:r>
        <w:rPr>
          <w:rFonts w:ascii="Traditional Arabic" w:cs="Traditional Arabic" w:eastAsia="Traditional Arabic" w:hAnsi="Traditional Arabic"/>
          <w:b/>
          <w:bCs/>
          <w:i w:val="false"/>
          <w:iCs w:val="false"/>
          <w:sz w:val="28"/>
          <w:szCs w:val="28"/>
          <w:rtl/>
        </w:rPr>
        <w:t xml:space="preserve">صار أكلُ أموال الناس بالباطل حلالًا في عقول الناس وتعاملاتهم</w:t>
      </w:r>
      <w:r>
        <w:rPr>
          <w:rFonts w:ascii="Traditional Arabic" w:cs="Traditional Arabic" w:eastAsia="Traditional Arabic" w:hAnsi="Traditional Arabic"/>
          <w:b w:val="false"/>
          <w:bCs w:val="false"/>
          <w:i w:val="false"/>
          <w:iCs w:val="false"/>
          <w:sz w:val="28"/>
          <w:szCs w:val="28"/>
          <w:rtl/>
        </w:rPr>
        <w:t xml:space="preserve">؛ فقلَّ من تجد امرأً يتورّع عنه في زمانٍ سيطرت فيه العَلمانيّةُ ففصلت الدينَ عن البيع والشراء. </w:t>
      </w:r>
      <w:r>
        <w:rPr>
          <w:rFonts w:ascii="Traditional Arabic" w:cs="Traditional Arabic" w:eastAsia="Traditional Arabic" w:hAnsi="Traditional Arabic"/>
          <w:b/>
          <w:bCs/>
          <w:i w:val="false"/>
          <w:iCs w:val="false"/>
          <w:sz w:val="28"/>
          <w:szCs w:val="28"/>
          <w:rtl/>
        </w:rPr>
        <w:t xml:space="preserve">وصدق ﷺ: «يأتي على الناس زمانٌ لا يُبالي المرءُ ما أخذ منه: أمِنَ الحلال أم من الحرام»</w:t>
      </w:r>
      <w:r>
        <w:rPr>
          <w:rFonts w:ascii="Traditional Arabic" w:cs="Traditional Arabic" w:eastAsia="Traditional Arabic" w:hAnsi="Traditional Arabic"/>
          <w:b w:val="false"/>
          <w:bCs w:val="false"/>
          <w:i w:val="false"/>
          <w:iCs w:val="false"/>
          <w:sz w:val="28"/>
          <w:szCs w:val="28"/>
          <w:rtl/>
        </w:rPr>
        <w:t xml:space="preserve">. رواه البخاري.</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أولًا: صُوَرُه</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وهي كثيرة: الصروحُ الربويّة، والفسادُ العريض، والاعتداءُ على أموال المساكين، والسرقةُ والمكوس. </w:t>
      </w:r>
      <w:r>
        <w:rPr>
          <w:rFonts w:ascii="Traditional Arabic" w:cs="Traditional Arabic" w:eastAsia="Traditional Arabic" w:hAnsi="Traditional Arabic"/>
          <w:b/>
          <w:bCs/>
          <w:i w:val="false"/>
          <w:iCs w:val="false"/>
          <w:sz w:val="28"/>
          <w:szCs w:val="28"/>
          <w:rtl/>
        </w:rPr>
        <w:t xml:space="preserve">ولكنّي سأقف على صورتين:</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١) الغِشّ</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فذاك يغشُّ في بيعه، وذاك في صناعته، </w:t>
      </w:r>
      <w:r>
        <w:rPr>
          <w:rFonts w:ascii="Traditional Arabic" w:cs="Traditional Arabic" w:eastAsia="Traditional Arabic" w:hAnsi="Traditional Arabic"/>
          <w:b/>
          <w:bCs/>
          <w:i w:val="false"/>
          <w:iCs w:val="false"/>
          <w:sz w:val="28"/>
          <w:szCs w:val="28"/>
          <w:rtl/>
        </w:rPr>
        <w:t xml:space="preserve">والعاملُ يغشُّ مُستأجِرَه في العمل الذي يُؤدّيه</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فالغِشُّ ليس في المدارس والجامعات فحسب: بل العاملُ يغشُّ، والصانعُ يغشّ، والمديرُ يغشّ، والمسؤولُ يغشّ — إلا مَن رحم الله</w:t>
      </w:r>
      <w:r>
        <w:rPr>
          <w:rFonts w:ascii="Traditional Arabic" w:cs="Traditional Arabic" w:eastAsia="Traditional Arabic" w:hAnsi="Traditional Arabic"/>
          <w:b w:val="false"/>
          <w:bCs w:val="false"/>
          <w:i w:val="false"/>
          <w:iCs w:val="false"/>
          <w:sz w:val="28"/>
          <w:szCs w:val="28"/>
          <w:rtl/>
        </w:rPr>
        <w:t xml:space="preserve">.</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٢) سؤالُ الناس بغير حقّ</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وهو </w:t>
      </w:r>
      <w:r>
        <w:rPr>
          <w:rFonts w:ascii="Traditional Arabic" w:cs="Traditional Arabic" w:eastAsia="Traditional Arabic" w:hAnsi="Traditional Arabic"/>
          <w:b/>
          <w:bCs/>
          <w:i w:val="false"/>
          <w:iCs w:val="false"/>
          <w:sz w:val="28"/>
          <w:szCs w:val="28"/>
          <w:rtl/>
        </w:rPr>
        <w:t xml:space="preserve">التسوُّلُ بغير وجه حقّ، والاقتراضُ بغير نيّة السداد</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فهذه فئةٌ بدأت تنتشر في مجتمعاتنا: يأخذ المالَ على وجه القرض وهو لا ينوي السداد — وهو آكلٌ له بالباطل</w:t>
      </w:r>
      <w:r>
        <w:rPr>
          <w:rFonts w:ascii="Traditional Arabic" w:cs="Traditional Arabic" w:eastAsia="Traditional Arabic" w:hAnsi="Traditional Arabic"/>
          <w:b w:val="false"/>
          <w:bCs w:val="false"/>
          <w:i w:val="false"/>
          <w:iCs w:val="false"/>
          <w:sz w:val="28"/>
          <w:szCs w:val="28"/>
          <w:rtl/>
        </w:rPr>
        <w:t xml:space="preserve">.</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ثانيًا: آثارُه</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١) مَحقُ البركة</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فهو يبحث عن الزيادة ولا يدري </w:t>
      </w:r>
      <w:r>
        <w:rPr>
          <w:rFonts w:ascii="Traditional Arabic" w:cs="Traditional Arabic" w:eastAsia="Traditional Arabic" w:hAnsi="Traditional Arabic"/>
          <w:b/>
          <w:bCs/>
          <w:i w:val="false"/>
          <w:iCs w:val="false"/>
          <w:sz w:val="28"/>
          <w:szCs w:val="28"/>
          <w:rtl/>
        </w:rPr>
        <w:t xml:space="preserve">أنّ البركةَ الحقيقيّة في حِلِّ المكسب</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﴿يَمْحَقُ اللَّهُ الرِّبَا وَيُرْبِي الصَّدَقَاتِ﴾</w:t>
      </w:r>
      <w:r>
        <w:rPr>
          <w:rFonts w:ascii="Traditional Arabic" w:cs="Traditional Arabic" w:eastAsia="Traditional Arabic" w:hAnsi="Traditional Arabic"/>
          <w:b w:val="false"/>
          <w:bCs w:val="false"/>
          <w:i w:val="false"/>
          <w:iCs w:val="false"/>
          <w:sz w:val="28"/>
          <w:szCs w:val="28"/>
          <w:rtl/>
        </w:rPr>
        <w:t xml:space="preserve">. وقال ﷺ: </w:t>
      </w:r>
      <w:r>
        <w:rPr>
          <w:rFonts w:ascii="Traditional Arabic" w:cs="Traditional Arabic" w:eastAsia="Traditional Arabic" w:hAnsi="Traditional Arabic"/>
          <w:b/>
          <w:bCs/>
          <w:i w:val="false"/>
          <w:iCs w:val="false"/>
          <w:sz w:val="28"/>
          <w:szCs w:val="28"/>
          <w:rtl/>
        </w:rPr>
        <w:t xml:space="preserve">«البيّعان بالخيار ما لم يتفرّقا؛ فإن صدقا وبيّنا بُورِك لهما في بيعهما، وإن كذبا وكتما مُحِقت بركةُ بيعهما»</w:t>
      </w:r>
      <w:r>
        <w:rPr>
          <w:rFonts w:ascii="Traditional Arabic" w:cs="Traditional Arabic" w:eastAsia="Traditional Arabic" w:hAnsi="Traditional Arabic"/>
          <w:b w:val="false"/>
          <w:bCs w:val="false"/>
          <w:i w:val="false"/>
          <w:iCs w:val="false"/>
          <w:sz w:val="28"/>
          <w:szCs w:val="28"/>
          <w:rtl/>
        </w:rPr>
        <w:t xml:space="preserve">. متفقٌ عليه. </w:t>
      </w:r>
      <w:r>
        <w:rPr>
          <w:rFonts w:ascii="Traditional Arabic" w:cs="Traditional Arabic" w:eastAsia="Traditional Arabic" w:hAnsi="Traditional Arabic"/>
          <w:b/>
          <w:bCs/>
          <w:i w:val="false"/>
          <w:iCs w:val="false"/>
          <w:sz w:val="28"/>
          <w:szCs w:val="28"/>
          <w:rtl/>
        </w:rPr>
        <w:t xml:space="preserve">أما تسأل نفسك: لِمَ لا يبلغُ بك الراتبُ آخرَ الشهر؟</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فالبركةُ ليست في زيادة العدد، بل أمرٌ يضعه اللهُ في المال</w:t>
      </w:r>
      <w:r>
        <w:rPr>
          <w:rFonts w:ascii="Traditional Arabic" w:cs="Traditional Arabic" w:eastAsia="Traditional Arabic" w:hAnsi="Traditional Arabic"/>
          <w:b w:val="false"/>
          <w:bCs w:val="false"/>
          <w:i w:val="false"/>
          <w:iCs w:val="false"/>
          <w:sz w:val="28"/>
          <w:szCs w:val="28"/>
          <w:rtl/>
        </w:rPr>
        <w:t xml:space="preserve">.</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٢) براءةُ النبيّ ﷺ منه</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مرَّ ﷺ على صُبْرةِ طعام، فأدخل يدَه فيها فنالت أصابعُه بللًا، فقال: </w:t>
      </w:r>
      <w:r>
        <w:rPr>
          <w:rFonts w:ascii="Traditional Arabic" w:cs="Traditional Arabic" w:eastAsia="Traditional Arabic" w:hAnsi="Traditional Arabic"/>
          <w:b/>
          <w:bCs/>
          <w:i w:val="false"/>
          <w:iCs w:val="false"/>
          <w:sz w:val="28"/>
          <w:szCs w:val="28"/>
          <w:rtl/>
        </w:rPr>
        <w:t xml:space="preserve">«ما هذا يا صاحبَ الطعام؟» قال: أصابته السماءُ يا رسول الله. قال: «أفلا جعلتَه فوق الطعام كي يراه الناس؟ مَن غَشَّ فليس منّي»</w:t>
      </w:r>
      <w:r>
        <w:rPr>
          <w:rFonts w:ascii="Traditional Arabic" w:cs="Traditional Arabic" w:eastAsia="Traditional Arabic" w:hAnsi="Traditional Arabic"/>
          <w:b w:val="false"/>
          <w:bCs w:val="false"/>
          <w:i w:val="false"/>
          <w:iCs w:val="false"/>
          <w:sz w:val="28"/>
          <w:szCs w:val="28"/>
          <w:rtl/>
        </w:rPr>
        <w:t xml:space="preserve">. رواه مسلم. </w:t>
      </w:r>
      <w:r>
        <w:rPr>
          <w:rFonts w:ascii="Traditional Arabic" w:cs="Traditional Arabic" w:eastAsia="Traditional Arabic" w:hAnsi="Traditional Arabic"/>
          <w:b/>
          <w:bCs/>
          <w:i w:val="false"/>
          <w:iCs w:val="false"/>
          <w:sz w:val="28"/>
          <w:szCs w:val="28"/>
          <w:rtl/>
        </w:rPr>
        <w:t xml:space="preserve">فواللهِ لأن تعيشَ حياتَك فقيرًا خيرٌ من أن يتبرّأ منك رسولُ الله ﷺ</w:t>
      </w:r>
      <w:r>
        <w:rPr>
          <w:rFonts w:ascii="Traditional Arabic" w:cs="Traditional Arabic" w:eastAsia="Traditional Arabic" w:hAnsi="Traditional Arabic"/>
          <w:b w:val="false"/>
          <w:bCs w:val="false"/>
          <w:i w:val="false"/>
          <w:iCs w:val="false"/>
          <w:sz w:val="28"/>
          <w:szCs w:val="28"/>
          <w:rtl/>
        </w:rPr>
        <w:t xml:space="preserve">.</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٣) أن يكون النبيُّ ﷺ خصمَك يوم القيامة</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قال ﷺ فيما رواه البخاريّ عن ربّه: </w:t>
      </w:r>
      <w:r>
        <w:rPr>
          <w:rFonts w:ascii="Traditional Arabic" w:cs="Traditional Arabic" w:eastAsia="Traditional Arabic" w:hAnsi="Traditional Arabic"/>
          <w:b/>
          <w:bCs/>
          <w:i w:val="false"/>
          <w:iCs w:val="false"/>
          <w:sz w:val="28"/>
          <w:szCs w:val="28"/>
          <w:rtl/>
        </w:rPr>
        <w:t xml:space="preserve">«ثلاثةٌ أنا خصمُهم يومَ القيامة: رجلٌ أعطى بي ثم غدر، ورجلٌ باع حُرًّا فأكل ثمنه، ورجلٌ استأجر أجيرًا فاستوفى منه ولم يُعطِه أجره»</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فكم عاملًا استأجرتَ ولم تُؤدِّ حقَّه؟ أتظنُّ خصمَك ذلك الأجيرَ وحدَه؟</w:t>
      </w:r>
    </w:p>
    <w:p>
      <w:pPr>
        <w:bidi/>
        <w:spacing w:after="180" w:line="365"/>
        <w:jc w:val="right"/>
      </w:pPr>
      <w:r>
        <w:rPr>
          <w:rFonts w:ascii="Traditional Arabic" w:cs="Traditional Arabic" w:eastAsia="Traditional Arabic" w:hAnsi="Traditional Arabic"/>
          <w:b w:val="false"/>
          <w:bCs w:val="false"/>
          <w:i w:val="false"/>
          <w:iCs w:val="false"/>
          <w:sz w:val="28"/>
          <w:szCs w:val="28"/>
          <w:rtl/>
        </w:rPr>
        <w:t xml:space="preserve">باركَ اللهُ لي ولكم بالقرآنِ العظيم، ونفعني وإيّاكم بما فيه من الآياتِ والذكرِ الحكيم. أقولُ ما سمعتم، وأستغفرُ اللهَ العليَّ العظيمَ لي ولكم من كلِّ ذنبٍ وخطيئة، فاستغفروه إنه هو الغفورُ الرحيم.</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الخطبة الثانية</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الحمدُ لله وكفى، والصلاةُ والسلامُ على النبيِّ المصطفى، وعلى آلِه وصحبِه ومَن سار على دربِه وسنّتَه اقتفى.</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٤) الوعيدُ بالنار</w:t>
      </w:r>
    </w:p>
    <w:p>
      <w:pPr>
        <w:bidi/>
        <w:spacing w:after="130" w:line="365"/>
        <w:jc w:val="both"/>
      </w:pPr>
      <w:r>
        <w:rPr>
          <w:rFonts w:ascii="Traditional Arabic" w:cs="Traditional Arabic" w:eastAsia="Traditional Arabic" w:hAnsi="Traditional Arabic"/>
          <w:b/>
          <w:bCs/>
          <w:i w:val="false"/>
          <w:iCs w:val="false"/>
          <w:sz w:val="28"/>
          <w:szCs w:val="28"/>
          <w:rtl/>
        </w:rPr>
        <w:t xml:space="preserve">﴿وَيْلٌ لِّلْمُطَفِّفِينَ • الَّذِينَ إِذَا اكْتَالُوا عَلَى النَّاسِ يَسْتَوْفُونَ • وَإِذَا كَالُوهُمْ أَو وَّزَنُوهُمْ يُخْسِرُونَ • أَلَا يَظُنُّ أُولَٰئِكَ أَنَّهُم مَّبْعُوثُونَ لِيَوْمٍ عَظِيمٍ﴾</w:t>
      </w:r>
      <w:r>
        <w:rPr>
          <w:rFonts w:ascii="Traditional Arabic" w:cs="Traditional Arabic" w:eastAsia="Traditional Arabic" w:hAnsi="Traditional Arabic"/>
          <w:b w:val="false"/>
          <w:bCs w:val="false"/>
          <w:i w:val="false"/>
          <w:iCs w:val="false"/>
          <w:sz w:val="28"/>
          <w:szCs w:val="28"/>
          <w:rtl/>
        </w:rPr>
        <w:t xml:space="preserve">. وقال ﷺ: </w:t>
      </w:r>
      <w:r>
        <w:rPr>
          <w:rFonts w:ascii="Traditional Arabic" w:cs="Traditional Arabic" w:eastAsia="Traditional Arabic" w:hAnsi="Traditional Arabic"/>
          <w:b/>
          <w:bCs/>
          <w:i w:val="false"/>
          <w:iCs w:val="false"/>
          <w:sz w:val="28"/>
          <w:szCs w:val="28"/>
          <w:rtl/>
        </w:rPr>
        <w:t xml:space="preserve">«كلُّ لحمٍ نبت من سُحتٍ فالنارُ أولى به»</w:t>
      </w:r>
      <w:r>
        <w:rPr>
          <w:rStyle w:val="FootnoteReference"/>
        </w:rPr>
        <w:footnoteReference w:id="14"/>
      </w:r>
      <w:r>
        <w:rPr>
          <w:rFonts w:ascii="Traditional Arabic" w:cs="Traditional Arabic" w:eastAsia="Traditional Arabic" w:hAnsi="Traditional Arabic"/>
          <w:b w:val="false"/>
          <w:bCs w:val="false"/>
          <w:i w:val="false"/>
          <w:iCs w:val="false"/>
          <w:sz w:val="28"/>
          <w:szCs w:val="28"/>
          <w:rtl/>
        </w:rPr>
        <w:t xml:space="preserve">.</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٥) عدمُ قبول الأعمال</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فكثيرٌ </w:t>
      </w:r>
      <w:r>
        <w:rPr>
          <w:rFonts w:ascii="Traditional Arabic" w:cs="Traditional Arabic" w:eastAsia="Traditional Arabic" w:hAnsi="Traditional Arabic"/>
          <w:b/>
          <w:bCs/>
          <w:i w:val="false"/>
          <w:iCs w:val="false"/>
          <w:sz w:val="28"/>
          <w:szCs w:val="28"/>
          <w:rtl/>
        </w:rPr>
        <w:t xml:space="preserve">يُصلّي في الصفّ الأوّل ويعتمر ويبني المساجد — ولكنّه يأكل الحرام ويُرابي</w:t>
      </w:r>
      <w:r>
        <w:rPr>
          <w:rFonts w:ascii="Traditional Arabic" w:cs="Traditional Arabic" w:eastAsia="Traditional Arabic" w:hAnsi="Traditional Arabic"/>
          <w:b w:val="false"/>
          <w:bCs w:val="false"/>
          <w:i w:val="false"/>
          <w:iCs w:val="false"/>
          <w:sz w:val="28"/>
          <w:szCs w:val="28"/>
          <w:rtl/>
        </w:rPr>
        <w:t xml:space="preserve">، ثم يظنُّ أنّ الصدقة تُذهِبُ ذلك! وقال ﷺ: </w:t>
      </w:r>
      <w:r>
        <w:rPr>
          <w:rFonts w:ascii="Traditional Arabic" w:cs="Traditional Arabic" w:eastAsia="Traditional Arabic" w:hAnsi="Traditional Arabic"/>
          <w:b/>
          <w:bCs/>
          <w:i w:val="false"/>
          <w:iCs w:val="false"/>
          <w:sz w:val="28"/>
          <w:szCs w:val="28"/>
          <w:rtl/>
        </w:rPr>
        <w:t xml:space="preserve">«إنّ اللهَ طيّبٌ لا يقبلُ إلا طيّبًا»</w:t>
      </w:r>
      <w:r>
        <w:rPr>
          <w:rFonts w:ascii="Traditional Arabic" w:cs="Traditional Arabic" w:eastAsia="Traditional Arabic" w:hAnsi="Traditional Arabic"/>
          <w:b w:val="false"/>
          <w:bCs w:val="false"/>
          <w:i w:val="false"/>
          <w:iCs w:val="false"/>
          <w:sz w:val="28"/>
          <w:szCs w:val="28"/>
          <w:rtl/>
        </w:rPr>
        <w:t xml:space="preserve">. رواه مسلم.</w:t>
      </w:r>
    </w:p>
    <w:p>
      <w:pPr>
        <w:pBdr>
          <w:top w:val="single" w:color="C0A47E" w:sz="6" w:space="8"/>
          <w:bottom w:val="single" w:color="C0A47E" w:sz="6" w:space="8"/>
          <w:left w:val="single" w:color="C0A47E" w:sz="6" w:space="8"/>
          <w:right w:val="single" w:color="C0A47E" w:sz="6" w:space="8"/>
        </w:pBdr>
        <w:shd w:fill="FBF8F3" w:val="clear"/>
        <w:bidi/>
        <w:spacing w:after="140" w:before="140" w:line="375"/>
        <w:ind w:left="288" w:right="288"/>
        <w:jc w:val="both"/>
      </w:pPr>
      <w:r>
        <w:rPr>
          <w:rFonts w:ascii="Traditional Arabic" w:cs="Traditional Arabic" w:eastAsia="Traditional Arabic" w:hAnsi="Traditional Arabic"/>
          <w:b w:val="false"/>
          <w:bCs w:val="false"/>
          <w:i w:val="false"/>
          <w:iCs w:val="false"/>
          <w:sz w:val="28"/>
          <w:szCs w:val="28"/>
          <w:rtl/>
        </w:rPr>
        <w:t xml:space="preserve">قال يوسفُ بنُ أسباط: </w:t>
      </w:r>
      <w:r>
        <w:rPr>
          <w:rFonts w:ascii="Traditional Arabic" w:cs="Traditional Arabic" w:eastAsia="Traditional Arabic" w:hAnsi="Traditional Arabic"/>
          <w:b/>
          <w:bCs/>
          <w:i w:val="false"/>
          <w:iCs w:val="false"/>
          <w:sz w:val="28"/>
          <w:szCs w:val="28"/>
          <w:rtl/>
        </w:rPr>
        <w:t xml:space="preserve">إذا تعبّد الرجلُ قال الشيطانُ لأعوانه: انظروا إلى مَطعمه؛ فإن كان مَطعمُه خبيثًا قال: دَعُوه يتعبْ، فقد كفاكم نفسَه</w:t>
      </w:r>
      <w:r>
        <w:rPr>
          <w:rFonts w:ascii="Traditional Arabic" w:cs="Traditional Arabic" w:eastAsia="Traditional Arabic" w:hAnsi="Traditional Arabic"/>
          <w:b w:val="false"/>
          <w:bCs w:val="false"/>
          <w:i w:val="false"/>
          <w:iCs w:val="false"/>
          <w:sz w:val="28"/>
          <w:szCs w:val="28"/>
          <w:rtl/>
        </w:rPr>
        <w:t xml:space="preserve">. وقال وُهيبُ بنُ الوَرد: </w:t>
      </w:r>
      <w:r>
        <w:rPr>
          <w:rFonts w:ascii="Traditional Arabic" w:cs="Traditional Arabic" w:eastAsia="Traditional Arabic" w:hAnsi="Traditional Arabic"/>
          <w:b/>
          <w:bCs/>
          <w:i w:val="false"/>
          <w:iCs w:val="false"/>
          <w:sz w:val="28"/>
          <w:szCs w:val="28"/>
          <w:rtl/>
        </w:rPr>
        <w:t xml:space="preserve">لو قمتَ في العبادة مقامَ هذه السارية، لم ينفعْك ذلك حتى تنظرَ ما يدخلُ بطنَك: أحلالٌ أم حرام؟</w:t>
      </w:r>
      <w:r>
        <w:rPr>
          <w:rStyle w:val="FootnoteReference"/>
        </w:rPr>
        <w:footnoteReference w:id="15"/>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٦) محشرٌ مُفزِع لِمَن سأل بغير حاجة</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قال ﷺ: </w:t>
      </w:r>
      <w:r>
        <w:rPr>
          <w:rFonts w:ascii="Traditional Arabic" w:cs="Traditional Arabic" w:eastAsia="Traditional Arabic" w:hAnsi="Traditional Arabic"/>
          <w:b/>
          <w:bCs/>
          <w:i w:val="false"/>
          <w:iCs w:val="false"/>
          <w:sz w:val="28"/>
          <w:szCs w:val="28"/>
          <w:rtl/>
        </w:rPr>
        <w:t xml:space="preserve">«ما يزالُ الرجلُ يسألُ الناسَ حتى يأتيَ يومَ القيامة وليس في وجهه مُزعةُ لحم»</w:t>
      </w:r>
      <w:r>
        <w:rPr>
          <w:rFonts w:ascii="Traditional Arabic" w:cs="Traditional Arabic" w:eastAsia="Traditional Arabic" w:hAnsi="Traditional Arabic"/>
          <w:b w:val="false"/>
          <w:bCs w:val="false"/>
          <w:i w:val="false"/>
          <w:iCs w:val="false"/>
          <w:sz w:val="28"/>
          <w:szCs w:val="28"/>
          <w:rtl/>
        </w:rPr>
        <w:t xml:space="preserve">. متفقٌ عليه. </w:t>
      </w:r>
      <w:r>
        <w:rPr>
          <w:rFonts w:ascii="Traditional Arabic" w:cs="Traditional Arabic" w:eastAsia="Traditional Arabic" w:hAnsi="Traditional Arabic"/>
          <w:b/>
          <w:bCs/>
          <w:i w:val="false"/>
          <w:iCs w:val="false"/>
          <w:sz w:val="28"/>
          <w:szCs w:val="28"/>
          <w:rtl/>
        </w:rPr>
        <w:t xml:space="preserve">فتخيَّلْ نفسَك تستدين وأنت لا تنوي السداد، وتظنُّ أنّك كنتَ ذكيًّا فأخذتَ أموالَهم — فانتظِرِ اللحمَ يتساقطُ من وجهك يوم القيامة!</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ومن أجمل ما قيل: </w:t>
      </w:r>
      <w:r>
        <w:rPr>
          <w:rFonts w:ascii="Traditional Arabic" w:cs="Traditional Arabic" w:eastAsia="Traditional Arabic" w:hAnsi="Traditional Arabic"/>
          <w:b/>
          <w:bCs/>
          <w:i w:val="false"/>
          <w:iCs w:val="false"/>
          <w:sz w:val="28"/>
          <w:szCs w:val="28"/>
          <w:rtl/>
        </w:rPr>
        <w:t xml:space="preserve">إذا مات العبدُ اجتمعت عليه مصيبتان: أن يترك مالَه كلَّه، وأن يُسأل عن مالِه كلِّه</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فاستعِدَّ للسؤال، وحلِّلْ نفسَك من المظالم، وابحث عن أصحاب الحقوق فأدِّها قبل أن يُخاصمك فيها النبيُّ ﷺ</w:t>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both"/>
      </w:pPr>
      <w:r>
        <w:rPr>
          <w:rFonts w:ascii="Traditional Arabic" w:cs="Traditional Arabic" w:eastAsia="Traditional Arabic" w:hAnsi="Traditional Arabic"/>
          <w:b/>
          <w:bCs/>
          <w:i w:val="false"/>
          <w:iCs w:val="false"/>
          <w:sz w:val="28"/>
          <w:szCs w:val="28"/>
          <w:rtl/>
        </w:rPr>
        <w:t xml:space="preserve">أسألُ اللهَ أن يجعلني وإيّاكم ممّن يتورّعون عن أكل أموال الناس بالباطل. اللهمّ اغفر للمسلمين والمسلمات، الأحياءِ منهم والأموات. اللهمّ آمِنّا في أوطاننا، وأصلِح واهدِ ووفِّق وُلاةَ أمورنا، واجعل هذا البلدَ آمنًا مطمئنًّا وسائرَ بلادِ المسلمين. اللهمّ احفظ أهلَنا في غزّةَ وفي عمومِ فلسطين، وانصرهم بنصرك وأيّدهم بتأييدك. ربَّنا آتِنا في الدنيا حسنةً وفي الآخرةِ حسنةً وقِنا عذابَ النار. وآخرُ دعوانا أنِ الحمدُ لله ربِّ العالمين، وصلّى اللهُ على نبيّنا محمدٍ وعلى آلِه وصحبِه أجمعين.</w:t>
      </w:r>
    </w:p>
    <w:sectPr>
      <w:headerReference w:type="default" r:id="rId7"/>
      <w:footerReference w:type="default" r:id="rId8"/>
      <w:pgSz w:w="11906" w:h="16838" w:orient="portrait"/>
      <w:pgMar w:top="1250" w:right="1350" w:bottom="1250" w:left="13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bidi/>
      <w:jc w:val="center"/>
    </w:pPr>
    <w:r>
      <w:rPr>
        <w:rFonts w:ascii="Traditional Arabic" w:cs="Traditional Arabic" w:eastAsia="Traditional Arabic" w:hAnsi="Traditional Arabic"/>
        <w:sz w:val="20"/>
        <w:szCs w:val="20"/>
        <w:rtl/>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 w:id="1">
    <w:p>
      <w:pPr>
        <w:bidi/>
        <w:jc w:val="right"/>
      </w:pPr>
      <w:r>
        <w:rPr>
          <w:rStyle w:val="FootnoteReference"/>
        </w:rPr>
        <w:footnoteRef/>
      </w:r>
      <w:r>
        <w:rPr>
          <w:rStyle w:val="FootnoteReference"/>
        </w:rPr>
        <w:footnoteRef/>
      </w: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أحمد (٢/٤٤٠) والبخاري في «الأدب المفرد» (١١٩) وابن حبان والحاكم من حديث أبي هريرة ﵁، وصحّحه الألباني في «صحيح الأدب المفرد» (٩١) و«صحيح الترغيب» (٢٥٦٠) و«السلسلة الصحيحة» (١٩٠).</w:t>
      </w:r>
    </w:p>
  </w:footnote>
  <w:footnote w:id="2">
    <w:p>
      <w:pPr>
        <w:bidi/>
        <w:jc w:val="right"/>
      </w:pPr>
      <w:r>
        <w:rPr>
          <w:rStyle w:val="FootnoteReference"/>
        </w:rPr>
        <w:footnoteRef/>
      </w:r>
      <w:r>
        <w:rPr>
          <w:rStyle w:val="FootnoteReference"/>
        </w:rPr>
        <w:footnoteRef/>
      </w: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أحمد والترمذي (٢٣٠٥) من حديث أبي هريرة ﵁، وحسّنه الألباني في «صحيح الجامع» (١٠٠) و«السلسلة الصحيحة» (٩٣٠) — وهو تتمّةُ حديث «اتّقِ المحارمَ تكن أعبدَ الناس».</w:t>
      </w:r>
    </w:p>
  </w:footnote>
  <w:footnote w:id="3">
    <w:p>
      <w:pPr>
        <w:bidi/>
        <w:jc w:val="right"/>
      </w:pPr>
      <w:r>
        <w:rPr>
          <w:rStyle w:val="FootnoteReference"/>
        </w:rPr>
        <w:footnoteRef/>
      </w:r>
      <w:r>
        <w:rPr>
          <w:rStyle w:val="FootnoteReference"/>
        </w:rPr>
        <w:footnoteRef/>
      </w: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أثرٌ في كتب الرقائق والزهد، يُساق للاعتبار لا للاحتجاج؛ ومعناه مستفادٌ من نصوص الشرع في تعظيم حقوق العباد، ومنها حديث المفلس المتقدّم.</w:t>
      </w:r>
    </w:p>
  </w:footnote>
  <w:footnote w:id="4">
    <w:p>
      <w:pPr>
        <w:bidi/>
        <w:jc w:val="right"/>
      </w:pPr>
      <w:r>
        <w:rPr>
          <w:rStyle w:val="FootnoteReference"/>
        </w:rPr>
        <w:footnoteRef/>
      </w: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الترمذي (١١٧٣) وابن خزيمة من حديث ابن مسعود ﵁، وصحّحه الألباني في «صحيح الجامع» (٦٦٩٠) و«الإرواء» (٢٧٣).</w:t>
      </w:r>
    </w:p>
  </w:footnote>
  <w:footnote w:id="5">
    <w:p>
      <w:pPr>
        <w:bidi/>
        <w:jc w:val="right"/>
      </w:pPr>
      <w:r>
        <w:rPr>
          <w:rStyle w:val="FootnoteReference"/>
        </w:rPr>
        <w:footnoteRef/>
      </w: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أبو داود (٤٦٩٠) والترمذي والحاكم من حديث أبي هريرة ﵁، وحسّنه الألباني في «صحيح أبي داود» (٣٩٢٩) و«صحيح الجامع» (٥٣٠).</w:t>
      </w:r>
    </w:p>
  </w:footnote>
  <w:footnote w:id="6">
    <w:p>
      <w:pPr>
        <w:bidi/>
        <w:jc w:val="right"/>
      </w:pPr>
      <w:r>
        <w:rPr>
          <w:rStyle w:val="FootnoteReference"/>
        </w:rPr>
        <w:footnoteRef/>
      </w: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أحمد (٢/٣٠٥) والطبراني من حديث أبي هريرة ﵁ وعثمان بن أبي العاص ﵁، وحسّنه الألباني في «صحيح الترغيب» (٧٠٦) و«صحيح الجامع» (٢٥٠٤).</w:t>
      </w:r>
    </w:p>
  </w:footnote>
  <w:footnote w:id="7">
    <w:p>
      <w:pPr>
        <w:bidi/>
        <w:jc w:val="right"/>
      </w:pPr>
      <w:r>
        <w:rPr>
          <w:rStyle w:val="FootnoteReference"/>
        </w:rPr>
        <w:footnoteRef/>
      </w: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أخرجه أحمد والبيهقي وغيرهما ضمن أحاديث الإسراء، وله شواهد؛ وقد صحّح الألباني حديثَ الإسراء بمشاهد العذاب في «السلسلة الصحيحة». ولم أقف على حكمٍ لإمامٍ على هذا اللفظ بعينه في كتب الشيخ الحاضرة في المكتبة، فيُذكر مع التنبيه.</w:t>
      </w:r>
    </w:p>
  </w:footnote>
  <w:footnote w:id="8">
    <w:p>
      <w:pPr>
        <w:bidi/>
        <w:jc w:val="right"/>
      </w:pPr>
      <w:r>
        <w:rPr>
          <w:rStyle w:val="FootnoteReference"/>
        </w:rPr>
        <w:footnoteRef/>
      </w: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أبو داود (٢١٤٩) والترمذي وأحمد من حديث بريدة ﵁، وحسّنه الألباني في «صحيح الجامع» (٧٩٥٣) و«الإرواء» (١٨٦٤).</w:t>
      </w:r>
    </w:p>
  </w:footnote>
  <w:footnote w:id="9">
    <w:p>
      <w:pPr>
        <w:bidi/>
        <w:jc w:val="right"/>
      </w:pPr>
      <w:r>
        <w:rPr>
          <w:rStyle w:val="FootnoteReference"/>
        </w:rPr>
        <w:footnoteRef/>
      </w: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أحمد (٥/٢٥٦) والطبراني من حديث أبي أُمامة ﵁، وصحّحه الألباني في «السلسلة الصحيحة» (٣٧٠).</w:t>
      </w:r>
    </w:p>
  </w:footnote>
  <w:footnote w:id="10">
    <w:p>
      <w:pPr>
        <w:bidi/>
        <w:jc w:val="right"/>
      </w:pP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كلمةٌ مشهورةٌ تُنسب إلى عليٍّ ﵁ في كتب الرقائق، ولم أقف على إسنادٍ يثبت بها عنه، فتُذكر على أنّها كلمةٌ حكيمةٌ لا أثرٌ ثابت.</w:t>
      </w:r>
    </w:p>
  </w:footnote>
  <w:footnote w:id="11">
    <w:p>
      <w:pPr>
        <w:bidi/>
        <w:jc w:val="right"/>
      </w:pP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ابن حبان والبيهقي في «الشعب» من حديث أبي هريرة ﵁، وحسّنه الألباني في «صحيح الجامع» (٤٣٣٢) و«السلسلة الصحيحة» (٧٤٢).</w:t>
      </w:r>
    </w:p>
  </w:footnote>
  <w:footnote w:id="12">
    <w:p>
      <w:pPr>
        <w:bidi/>
        <w:jc w:val="right"/>
      </w:pP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خبرٌ مشهورٌ في ترجمة عمر بن عبد العزيز عند ابن الجوزي وابن عبد الحكم والذهبي في «سير أعلام النبلاء»، وهو من أخبار التراجم لا من المرفوع، ولم أقف على حكمٍ لإمامٍ على إسناده.</w:t>
      </w:r>
    </w:p>
  </w:footnote>
  <w:footnote w:id="13">
    <w:p>
      <w:pPr>
        <w:bidi/>
        <w:jc w:val="right"/>
      </w:pP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النسائي (١٣٥٥) وأحمد من حديث أنسٍ ﵁ — وكان عمر بن عبد العزيز أميرًا على المدينة — وصحّحه الألباني في «صحيح سنن النسائي».</w:t>
      </w:r>
    </w:p>
  </w:footnote>
  <w:footnote w:id="14">
    <w:p>
      <w:pPr>
        <w:bidi/>
        <w:jc w:val="right"/>
      </w:pPr>
      <w:r>
        <w:rPr>
          <w:rStyle w:val="FootnoteReference"/>
        </w:rPr>
        <w:footnoteRef/>
      </w:r>
      <w:r>
        <w:rPr>
          <w:rFonts w:ascii="Traditional Arabic" w:cs="Traditional Arabic" w:eastAsia="Traditional Arabic" w:hAnsi="Traditional Arabic"/>
          <w:sz w:val="20"/>
          <w:szCs w:val="20"/>
          <w:rtl/>
        </w:rPr>
        <w:t xml:space="preserve">رواه أحمد في «المسند» والترمذي (٦١٤) والطبراني من حديث كعب بن عُجرة ﵁ وأبي بكر ﵁، وصحّحه الألباني في «صحيح الجامع» (٤٥١٩) و«السلسلة الصحيحة» (٢٦٠٩).</w:t>
      </w:r>
    </w:p>
  </w:footnote>
  <w:footnote w:id="15">
    <w:p>
      <w:pPr>
        <w:bidi/>
        <w:jc w:val="right"/>
      </w:pPr>
      <w:r>
        <w:rPr>
          <w:rStyle w:val="FootnoteReference"/>
        </w:rPr>
        <w:footnoteRef/>
      </w:r>
      <w:r>
        <w:rPr>
          <w:rFonts w:ascii="Traditional Arabic" w:cs="Traditional Arabic" w:eastAsia="Traditional Arabic" w:hAnsi="Traditional Arabic"/>
          <w:sz w:val="20"/>
          <w:szCs w:val="20"/>
          <w:rtl/>
        </w:rPr>
        <w:t xml:space="preserve">من أقوال السلف في الرقائق، ذكرها أبو نعيم في «الحلية» وابن رجب في «جامع العلوم والحكم». تُساق للاعتبار، وأصلُها في الشرع حديثُ «إنّ الله طيّب لا يقبل إلا طيّبًا» المتقدّم.</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B393" w:sz="4" w:space="4"/>
      </w:pBdr>
      <w:bidi/>
      <w:jc w:val="right"/>
    </w:pPr>
    <w:r>
      <w:rPr>
        <w:rFonts w:ascii="Traditional Arabic" w:cs="Traditional Arabic" w:eastAsia="Traditional Arabic" w:hAnsi="Traditional Arabic"/>
        <w:b w:val="false"/>
        <w:bCs w:val="false"/>
        <w:i w:val="false"/>
        <w:iCs w:val="false"/>
        <w:color w:val="8A7A66"/>
        <w:sz w:val="19"/>
        <w:szCs w:val="19"/>
        <w:rtl/>
      </w:rPr>
      <w:t xml:space="preserve">أكلُ أموالِ الناسِ بالباطل — خطبة الجمعة | د. عماد السواعير</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raditional Arabic" w:cs="Traditional Arabic" w:eastAsia="Traditional Arabic" w:hAnsi="Traditional Arabic"/>
        <w:sz w:val="28"/>
        <w:szCs w:val="28"/>
        <w:rtl/>
      </w:rPr>
    </w:rPrDefault>
    <w:pPrDefault>
      <w:pPr>
        <w:bidi/>
        <w:spacing w:after="130" w:line="365"/>
        <w:jc w:val="both"/>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2026-08-01T18:03:05.718Z</dcterms:created>
  <dcterms:modified xsi:type="dcterms:W3CDTF">2026-08-01T18:03:05.718Z</dcterms:modified>
</cp:coreProperties>
</file>

<file path=docProps/custom.xml><?xml version="1.0" encoding="utf-8"?>
<Properties xmlns="http://schemas.openxmlformats.org/officeDocument/2006/custom-properties" xmlns:vt="http://schemas.openxmlformats.org/officeDocument/2006/docPropsVTypes"/>
</file>