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﴿وَقُولُوا قَوْلًا سَدِيدًا﴾</w:t>
      </w:r>
    </w:p>
    <w:p>
      <w:pPr>
        <w:spacing w:after="120"/>
      </w:pPr>
      <w:r>
        <w:rPr>
          <w:color w:val="8A6A1F"/>
          <w:sz w:val="36"/>
          <w:szCs w:val="36"/>
        </w:rPr>
        <w:t xml:space="preserve">مظاهرُ القولِ غيرِ السديد، وآثارُه على العبدِ في الدنيا والآخرة</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إنهما يسمعانِ ويكتبان</w:t>
      </w:r>
    </w:p>
    <w:p>
      <w:pPr>
        <w:spacing w:after="140" w:line="340" w:lineRule="auto"/>
        <w:jc w:val="both"/>
      </w:pPr>
      <w:r>
        <w:rPr>
          <w:color w:val="1A1A1A"/>
          <w:sz w:val="36"/>
          <w:szCs w:val="36"/>
        </w:rPr>
        <w:t xml:space="preserve">وبعدُ، أحبَّتي في الله، معاشرَ المصلِّين: إنهما يسمعانِ كلَّ ما تقول، وليس هذا فحسبُ بل يكتُبان:</w:t>
      </w:r>
    </w:p>
    <w:p>
      <w:pPr>
        <w:pBdr>
          <w:right w:val="single" w:sz="12" w:space="10" w:color="8A6A1F"/>
        </w:pBdr>
        <w:spacing w:before="120" w:after="160" w:line="320" w:lineRule="auto"/>
        <w:ind w:left="504" w:right="504"/>
        <w:jc w:val="both"/>
      </w:pPr>
      <w:r>
        <w:rPr>
          <w:b/>
          <w:bCs/>
          <w:color w:val="8A6A1F"/>
          <w:sz w:val="36"/>
          <w:szCs w:val="36"/>
        </w:rPr>
        <w:t xml:space="preserve">﴿إِذْ يَتَلَقَّى الْمُتَلَقِّيَانِ عَنِ الْيَمِينِ وَعَنِ الشِّمَالِ قَعِيدٌ ۝ مَّا يَلْفِظُ مِن قَوْلٍ إِلَّا لَدَيْهِ رَقِيبٌ عَتِيدٌ﴾</w:t>
      </w:r>
    </w:p>
    <w:p>
      <w:pPr>
        <w:spacing w:after="140" w:line="340" w:lineRule="auto"/>
        <w:jc w:val="both"/>
      </w:pPr>
      <w:r>
        <w:rPr>
          <w:color w:val="1A1A1A"/>
          <w:sz w:val="36"/>
          <w:szCs w:val="36"/>
        </w:rPr>
        <w:t xml:space="preserve">وأنت سادِرٌ في غفلتِك تُسوِّدُ الصحفَ بما يُمليه لسانُك من كلامٍ قبيح. يا مسلمُ، إنّ اللهَ أرشدَك وبيَّنَ أنك مُحاسَبٌ بما تقول؛ وقال لك حبيبُك ﷺ لمّا سألَه معاذٌ ﵁ عن مِلاكِ ذلك كلِّه فأخذَ بلسانِه وقال:</w:t>
      </w:r>
    </w:p>
    <w:p>
      <w:pPr>
        <w:pBdr>
          <w:right w:val="single" w:sz="12" w:space="10" w:color="8A6A1F"/>
        </w:pBdr>
        <w:spacing w:before="120" w:after="160" w:line="320" w:lineRule="auto"/>
        <w:ind w:left="504" w:right="504"/>
        <w:jc w:val="both"/>
      </w:pPr>
      <w:r>
        <w:rPr>
          <w:b/>
          <w:bCs/>
          <w:color w:val="1F5C3A"/>
          <w:sz w:val="36"/>
          <w:szCs w:val="36"/>
        </w:rPr>
        <w:t xml:space="preserve">«كُفَّ عليك هذا»</w:t>
      </w:r>
    </w:p>
    <w:p>
      <w:pPr>
        <w:spacing w:after="140" w:line="340" w:lineRule="auto"/>
        <w:jc w:val="both"/>
      </w:pPr>
      <w:r>
        <w:rPr>
          <w:color w:val="1A1A1A"/>
          <w:sz w:val="36"/>
          <w:szCs w:val="36"/>
        </w:rPr>
        <w:t xml:space="preserve">قال: يا نبيَّ الله، وإنّا لَمُؤاخَذون بما نتكلَّمُ به؟ فقال:</w:t>
      </w:r>
    </w:p>
    <w:p>
      <w:pPr>
        <w:pBdr>
          <w:right w:val="single" w:sz="12" w:space="10" w:color="8A6A1F"/>
        </w:pBdr>
        <w:spacing w:before="120" w:after="160" w:line="320" w:lineRule="auto"/>
        <w:ind w:left="504" w:right="504"/>
        <w:jc w:val="both"/>
      </w:pPr>
      <w:r>
        <w:rPr>
          <w:b/>
          <w:bCs/>
          <w:color w:val="1F5C3A"/>
          <w:sz w:val="36"/>
          <w:szCs w:val="36"/>
        </w:rPr>
        <w:t xml:space="preserve">«ثَكِلَتْك أمُّك يا معاذ! وهل يَكُبُّ الناسَ في النارِ على وجوهِهم ـ أو قال: على مَناخِرِهم ـ إلا حصائدُ ألسنتِهم؟»</w:t>
      </w:r>
      <w:r>
        <w:rPr>
          <w:rStyle w:val="a5"/>
          <w:sz w:val="36"/>
          <w:szCs w:val="36"/>
        </w:rPr>
        <w:footnoteReference w:id="1"/>
      </w:r>
    </w:p>
    <w:p>
      <w:pPr>
        <w:spacing w:after="140" w:line="340" w:lineRule="auto"/>
        <w:jc w:val="both"/>
      </w:pPr>
      <w:r>
        <w:rPr>
          <w:color w:val="1A1A1A"/>
          <w:sz w:val="36"/>
          <w:szCs w:val="36"/>
        </w:rPr>
        <w:t xml:space="preserve">فلئنْ كنّا نُحاسَبُ بما نقول، فقد أمرَك اللهُ أمرًا عظيمًا ما رقيَ النبيُّ ﷺ مِنبَرَه إلا ورَدَّدَه في خُطبةِ الحاجة:</w:t>
      </w:r>
    </w:p>
    <w:p>
      <w:pPr>
        <w:pBdr>
          <w:right w:val="single" w:sz="12" w:space="10" w:color="8A6A1F"/>
        </w:pBdr>
        <w:spacing w:before="120" w:after="160" w:line="320" w:lineRule="auto"/>
        <w:ind w:left="504" w:right="504"/>
        <w:jc w:val="both"/>
      </w:pPr>
      <w:r>
        <w:rPr>
          <w:b/>
          <w:bCs/>
          <w:color w:val="8A6A1F"/>
          <w:sz w:val="36"/>
          <w:szCs w:val="36"/>
        </w:rPr>
        <w:t xml:space="preserve">﴿يَا أَيُّهَا الَّذِينَ آمَنُوا اتَّقُوا اللَّهَ وَقُولُوا قَوْلًا سَدِيدًا ۝ يُصْلِحْ لَكُمْ أَعْمَالَكُمْ وَيَغْفِرْ لَكُمْ ذُنُوبَكُمْ﴾</w:t>
      </w:r>
    </w:p>
    <w:p>
      <w:pPr>
        <w:spacing w:after="140" w:line="340" w:lineRule="auto"/>
        <w:jc w:val="both"/>
      </w:pPr>
      <w:r>
        <w:rPr>
          <w:color w:val="1A1A1A"/>
          <w:sz w:val="36"/>
          <w:szCs w:val="36"/>
        </w:rPr>
        <w:t xml:space="preserve">فما القولُ السديد؟ هو الذي يسُرُّك أن تكتُبَه الملائكة، وترتفعُ به عند الله؛ الذي تدعو به إلى التوحيد، وتأمُرُ فيه بالمعروفِ والبِرِّ والصِّدقِ والإحسان، وتنهى به عن الفجورِ والظلمِ والعُدوان.</w:t>
      </w:r>
    </w:p>
    <w:p>
      <w:pPr>
        <w:spacing w:after="140" w:line="340" w:lineRule="auto"/>
        <w:jc w:val="both"/>
      </w:pPr>
      <w:r>
        <w:rPr>
          <w:color w:val="1A1A1A"/>
          <w:sz w:val="36"/>
          <w:szCs w:val="36"/>
        </w:rPr>
        <w:t xml:space="preserve">ولمّا كنّا مُطالَبين بالقولِ السديد، فالواجبُ أن نتعرَّفَ على مظاهرِ القولِ غيرِ السديد. وهي في زمانِنا كثيرة، لكنّي أقِفُ على ثلاثةٍ منها.</w:t>
      </w:r>
    </w:p>
    <w:p>
      <w:pPr>
        <w:spacing w:before="260" w:after="120"/>
      </w:pPr>
      <w:r>
        <w:rPr>
          <w:b/>
          <w:bCs/>
          <w:color w:val="1F5C3A"/>
          <w:sz w:val="36"/>
          <w:szCs w:val="36"/>
        </w:rPr>
        <w:t xml:space="preserve">أولًا: مظاهرُ القولِ غيرِ السديد</w:t>
      </w:r>
    </w:p>
    <w:p>
      <w:pPr>
        <w:spacing w:before="200" w:after="100"/>
      </w:pPr>
      <w:r>
        <w:rPr>
          <w:b/>
          <w:bCs/>
          <w:color w:val="1A1A1A"/>
          <w:sz w:val="36"/>
          <w:szCs w:val="36"/>
        </w:rPr>
        <w:t xml:space="preserve">١) قولُ الكفرِ والشرك</w:t>
      </w:r>
    </w:p>
    <w:p>
      <w:pPr>
        <w:spacing w:after="140" w:line="340" w:lineRule="auto"/>
        <w:jc w:val="both"/>
      </w:pPr>
      <w:r>
        <w:rPr>
          <w:color w:val="1A1A1A"/>
          <w:sz w:val="36"/>
          <w:szCs w:val="36"/>
        </w:rPr>
        <w:t xml:space="preserve">وهو أقبحُها وشرُّها؛ القولُ الذي تكادُ السماواتُ يتفطَّرْنَ منه. أيها المسلم: لا تتورَّعُ عن سبِّ اللهِ أو سبِّ الدينِ إذا غضِبتَ أو فرِحتَ أو لعِبتَ أو مَزَحت!</w:t>
      </w:r>
    </w:p>
    <w:p>
      <w:pPr>
        <w:spacing w:after="140" w:line="340" w:lineRule="auto"/>
        <w:jc w:val="both"/>
      </w:pPr>
      <w:r>
        <w:rPr>
          <w:color w:val="1A1A1A"/>
          <w:sz w:val="36"/>
          <w:szCs w:val="36"/>
        </w:rPr>
        <w:t xml:space="preserve">يا مسلم، إنّ سبَّ اللهِ وسبَّ الدينِ كفرٌ بإجماعِ المسلمين. فالحذَرَ الحذَرَ من هذه الكلمةِ القبيحة؛ فواللهِ إنّ الواحدَ منهم لو كان أمامَ مسؤولٍ من بني الدنيا لَما تجرَّأَ أن يلفِظَ بكلمةٍ تُقلِّلُ من مقامِه ـ وصدقَ ربي: </w:t>
      </w:r>
      <w:r>
        <w:rPr>
          <w:b/>
          <w:bCs/>
          <w:color w:val="8A6A1F"/>
          <w:sz w:val="36"/>
          <w:szCs w:val="36"/>
        </w:rPr>
        <w:t xml:space="preserve">﴿وَمَا قَدَرُوا اللَّهَ حَقَّ قَدْرِهِ﴾</w:t>
      </w:r>
      <w:r>
        <w:rPr>
          <w:color w:val="1A1A1A"/>
          <w:sz w:val="36"/>
          <w:szCs w:val="36"/>
        </w:rPr>
        <w:t xml:space="preserve">. فمن سبَّ اللهَ ما قدَرَ اللهَ حقَّ قدرِه.</w:t>
      </w:r>
    </w:p>
    <w:p>
      <w:pPr>
        <w:spacing w:before="200" w:after="100"/>
      </w:pPr>
      <w:r>
        <w:rPr>
          <w:b/>
          <w:bCs/>
          <w:color w:val="1A1A1A"/>
          <w:sz w:val="36"/>
          <w:szCs w:val="36"/>
        </w:rPr>
        <w:t xml:space="preserve">٢) الفُحشُ والبَذاءة</w:t>
      </w:r>
    </w:p>
    <w:p>
      <w:pPr>
        <w:spacing w:after="140" w:line="340" w:lineRule="auto"/>
        <w:jc w:val="both"/>
      </w:pPr>
      <w:r>
        <w:rPr>
          <w:color w:val="1A1A1A"/>
          <w:sz w:val="36"/>
          <w:szCs w:val="36"/>
        </w:rPr>
        <w:t xml:space="preserve">الفُحشُ الذي تقشعِرُّ منه القلوبُ وتأنَفُ منه الفِطَرُ السويَّة، وقد غصَّتْ به مجتمعاتُنا؛ فلا تورُّعَ عن ذكرِ العوراتِ ولا عن القذف!</w:t>
      </w:r>
    </w:p>
    <w:p>
      <w:pPr>
        <w:spacing w:after="140" w:line="340" w:lineRule="auto"/>
        <w:jc w:val="both"/>
      </w:pPr>
      <w:r>
        <w:rPr>
          <w:color w:val="1A1A1A"/>
          <w:sz w:val="36"/>
          <w:szCs w:val="36"/>
        </w:rPr>
        <w:t xml:space="preserve">ولئنْ كان النبيُّ ﷺ قد أنكرَ على عائشةَ ﵂ ما هو دونَ ذلك بمراحل! فقد دخلَ عليه اليهودُ فقالوا: السامُ عليك ـ أي الموت ـ فقال ﷺ: </w:t>
      </w:r>
      <w:r>
        <w:rPr>
          <w:b/>
          <w:bCs/>
          <w:color w:val="1F5C3A"/>
          <w:sz w:val="36"/>
          <w:szCs w:val="36"/>
        </w:rPr>
        <w:t xml:space="preserve">«وعليكم»</w:t>
      </w:r>
      <w:r>
        <w:rPr>
          <w:color w:val="1A1A1A"/>
          <w:sz w:val="36"/>
          <w:szCs w:val="36"/>
        </w:rPr>
        <w:t xml:space="preserve">. فقالت عائشة: بل عليكمُ السامُ واللعنة! فقال ﷺ:</w:t>
      </w:r>
    </w:p>
    <w:p>
      <w:pPr>
        <w:pBdr>
          <w:right w:val="single" w:sz="12" w:space="10" w:color="8A6A1F"/>
        </w:pBdr>
        <w:spacing w:before="120" w:after="160" w:line="320" w:lineRule="auto"/>
        <w:ind w:left="504" w:right="504"/>
        <w:jc w:val="both"/>
      </w:pPr>
      <w:r>
        <w:rPr>
          <w:b/>
          <w:bCs/>
          <w:color w:val="1F5C3A"/>
          <w:sz w:val="36"/>
          <w:szCs w:val="36"/>
        </w:rPr>
        <w:t xml:space="preserve">«مَهْلًا يا عائشة، إنّ اللهَ يُحِبُّ الرِّفقَ في الأمرِ كلِّه»</w:t>
      </w:r>
      <w:r>
        <w:rPr>
          <w:rStyle w:val="a5"/>
          <w:sz w:val="36"/>
          <w:szCs w:val="36"/>
        </w:rPr>
        <w:footnoteReference w:id="2"/>
      </w:r>
    </w:p>
    <w:p>
      <w:pPr>
        <w:spacing w:after="140" w:line="340" w:lineRule="auto"/>
        <w:jc w:val="both"/>
      </w:pPr>
      <w:r>
        <w:rPr>
          <w:color w:val="1A1A1A"/>
          <w:sz w:val="36"/>
          <w:szCs w:val="36"/>
        </w:rPr>
        <w:t xml:space="preserve">وفي روايةٍ: </w:t>
      </w:r>
      <w:r>
        <w:rPr>
          <w:b/>
          <w:bCs/>
          <w:color w:val="1F5C3A"/>
          <w:sz w:val="36"/>
          <w:szCs w:val="36"/>
        </w:rPr>
        <w:t xml:space="preserve">«إياكِ والعُنفَ والفُحش»</w:t>
      </w:r>
      <w:r>
        <w:rPr>
          <w:color w:val="1A1A1A"/>
          <w:sz w:val="36"/>
          <w:szCs w:val="36"/>
        </w:rPr>
        <w:t xml:space="preserve">. فأيُّ فُحشٍ في مقالتِها ﵂؟! فكيف بمن يجعلُ سبَّ الأعراضِ على لسانِه؟ وإنّ سبَّ العِرضِ قذفٌ يُوجِبُ الحدَّ لو كانت الحدودُ قائمة.</w:t>
      </w:r>
    </w:p>
    <w:p>
      <w:pPr>
        <w:spacing w:before="200" w:after="100"/>
      </w:pPr>
      <w:r>
        <w:rPr>
          <w:b/>
          <w:bCs/>
          <w:color w:val="1A1A1A"/>
          <w:sz w:val="36"/>
          <w:szCs w:val="36"/>
        </w:rPr>
        <w:t xml:space="preserve">٣) التطاوُلُ على أهلِ الفضل</w:t>
      </w:r>
    </w:p>
    <w:p>
      <w:pPr>
        <w:spacing w:after="140" w:line="340" w:lineRule="auto"/>
        <w:jc w:val="both"/>
      </w:pPr>
      <w:r>
        <w:rPr>
          <w:color w:val="1A1A1A"/>
          <w:sz w:val="36"/>
          <w:szCs w:val="36"/>
        </w:rPr>
        <w:t xml:space="preserve">على الجبالِ الشامخاتِ من أهلِ العلمِ والفضلِ والدعوةِ إلى الله. إننا نعيشُ زمانًا يُشبِهُ ما كان عليه المنافقون: تكلَّموا في مقاماتِ الأنبياءِ والملائكة. ولو قرأتُم ما حُبِّرَ في المحرَّفِ من كتُبِهم في حقِّ الأنبياءِ لَشابَتْ قلوبُكم! وهذا لا يُستغرَبُ منهم، لكنّه يُستغرَبُ ممَّن ينتسِبُ إلى الإسلامِ فيَطعَنُ في الأنبياءِ أو في الصحابةِ أو في الملائكة.</w:t>
      </w:r>
    </w:p>
    <w:p>
      <w:pPr>
        <w:spacing w:after="140" w:line="340" w:lineRule="auto"/>
        <w:jc w:val="both"/>
      </w:pPr>
      <w:r>
        <w:rPr>
          <w:color w:val="1A1A1A"/>
          <w:sz w:val="36"/>
          <w:szCs w:val="36"/>
        </w:rPr>
        <w:t xml:space="preserve">فاملِكْ لسانَك عن كلِّ صاحبِ فضل؛ فواللهِ إني لَأخافُ أن يُخاصِمَني بين يدَيِ اللهِ أدنى الناس، فكيف إذا كان خصمي نبيٌّ أو وليٌّ من أولياءِ اللهِ أو عالمٌ داعٍ إلى الله؟! وقد قال ﷺ عن اللهِ ﷿:</w:t>
      </w:r>
    </w:p>
    <w:p>
      <w:pPr>
        <w:pBdr>
          <w:right w:val="single" w:sz="12" w:space="10" w:color="8A6A1F"/>
        </w:pBdr>
        <w:spacing w:before="120" w:after="160" w:line="320" w:lineRule="auto"/>
        <w:ind w:left="504" w:right="504"/>
        <w:jc w:val="both"/>
      </w:pPr>
      <w:r>
        <w:rPr>
          <w:b/>
          <w:bCs/>
          <w:color w:val="1F5C3A"/>
          <w:sz w:val="36"/>
          <w:szCs w:val="36"/>
        </w:rPr>
        <w:t xml:space="preserve">«مَن عادى لي وليًّا فقد آذَنتُه بالحرب»</w:t>
      </w:r>
      <w:r>
        <w:rPr>
          <w:rStyle w:val="a5"/>
          <w:sz w:val="36"/>
          <w:szCs w:val="36"/>
        </w:rPr>
        <w:footnoteReference w:id="3"/>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يا كرام: فبمَ توعَّدَ اللهُ من لم يقُلْ قولًا سديدًا؟</w:t>
      </w:r>
    </w:p>
    <w:p>
      <w:pPr>
        <w:spacing w:before="260" w:after="120"/>
      </w:pPr>
      <w:r>
        <w:rPr>
          <w:b/>
          <w:bCs/>
          <w:color w:val="1F5C3A"/>
          <w:sz w:val="36"/>
          <w:szCs w:val="36"/>
        </w:rPr>
        <w:t xml:space="preserve">ثانيًا: آثارُ القولِ غيرِ السديد</w:t>
      </w:r>
    </w:p>
    <w:p>
      <w:pPr>
        <w:spacing w:before="200" w:after="100"/>
      </w:pPr>
      <w:r>
        <w:rPr>
          <w:b/>
          <w:bCs/>
          <w:color w:val="1A1A1A"/>
          <w:sz w:val="36"/>
          <w:szCs w:val="36"/>
        </w:rPr>
        <w:t xml:space="preserve">١) نفيُ كمالِ الإيمان</w:t>
      </w:r>
    </w:p>
    <w:p>
      <w:pPr>
        <w:spacing w:after="140" w:line="340" w:lineRule="auto"/>
        <w:jc w:val="both"/>
      </w:pPr>
      <w:r>
        <w:rPr>
          <w:color w:val="1A1A1A"/>
          <w:sz w:val="36"/>
          <w:szCs w:val="36"/>
        </w:rPr>
        <w:t xml:space="preserve">اسمَعْ يا من يُكثِرُ لسانُه ذِكرَ الأعراض:</w:t>
      </w:r>
    </w:p>
    <w:p>
      <w:pPr>
        <w:pBdr>
          <w:right w:val="single" w:sz="12" w:space="10" w:color="8A6A1F"/>
        </w:pBdr>
        <w:spacing w:before="120" w:after="160" w:line="320" w:lineRule="auto"/>
        <w:ind w:left="504" w:right="504"/>
        <w:jc w:val="both"/>
      </w:pPr>
      <w:r>
        <w:rPr>
          <w:b/>
          <w:bCs/>
          <w:color w:val="1F5C3A"/>
          <w:sz w:val="36"/>
          <w:szCs w:val="36"/>
        </w:rPr>
        <w:t xml:space="preserve">«ليس المؤمنُ بالطعّانِ ولا اللعّانِ ولا الفاحشِ ولا البَذيء»</w:t>
      </w:r>
      <w:r>
        <w:rPr>
          <w:rStyle w:val="a5"/>
          <w:sz w:val="36"/>
          <w:szCs w:val="36"/>
        </w:rPr>
        <w:footnoteReference w:id="4"/>
      </w:r>
    </w:p>
    <w:p>
      <w:pPr>
        <w:spacing w:after="140" w:line="340" w:lineRule="auto"/>
        <w:jc w:val="both"/>
      </w:pPr>
      <w:r>
        <w:rPr>
          <w:color w:val="1A1A1A"/>
          <w:sz w:val="36"/>
          <w:szCs w:val="36"/>
        </w:rPr>
        <w:t xml:space="preserve">فالفاحشُ والبَذيءُ مَسلوبٌ كمالَ الإيمان. والمصيبةُ أنّ بعضَنا اليومَ يتباهى بذلك ويُربِّي ولدَه عليه!</w:t>
      </w:r>
    </w:p>
    <w:p>
      <w:pPr>
        <w:spacing w:before="200" w:after="100"/>
      </w:pPr>
      <w:r>
        <w:rPr>
          <w:b/>
          <w:bCs/>
          <w:color w:val="1A1A1A"/>
          <w:sz w:val="36"/>
          <w:szCs w:val="36"/>
        </w:rPr>
        <w:t xml:space="preserve">٢) الهُويُّ في نارِ جهنّم</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«إنّ العبدَ لَيتكلَّمُ بالكلمةِ من رِضوانِ اللهِ لا يُلقي لها بالًا يرفعُه اللهُ بها درجات، وإنّ العبدَ لَيتكلَّمُ بالكلمةِ من سَخَطِ اللهِ لا يُلقي لها بالًا يَهوي بها في جهنّم»</w:t>
      </w:r>
      <w:r>
        <w:rPr>
          <w:rStyle w:val="a5"/>
          <w:sz w:val="36"/>
          <w:szCs w:val="36"/>
        </w:rPr>
        <w:footnoteReference w:id="5"/>
      </w:r>
    </w:p>
    <w:p>
      <w:pPr>
        <w:spacing w:after="140" w:line="340" w:lineRule="auto"/>
        <w:jc w:val="both"/>
      </w:pPr>
      <w:r>
        <w:rPr>
          <w:color w:val="1A1A1A"/>
          <w:sz w:val="36"/>
          <w:szCs w:val="36"/>
        </w:rPr>
        <w:t xml:space="preserve">فكم كلمةً قلتَها من سَخَطِ الله؟ تُبْ يا مسلمُ واستغفِرْ ربَّك. وقال ﷺ:</w:t>
      </w:r>
    </w:p>
    <w:p>
      <w:pPr>
        <w:pBdr>
          <w:right w:val="single" w:sz="12" w:space="10" w:color="8A6A1F"/>
        </w:pBdr>
        <w:spacing w:before="120" w:after="160" w:line="320" w:lineRule="auto"/>
        <w:ind w:left="504" w:right="504"/>
        <w:jc w:val="both"/>
      </w:pPr>
      <w:r>
        <w:rPr>
          <w:b/>
          <w:bCs/>
          <w:color w:val="1F5C3A"/>
          <w:sz w:val="36"/>
          <w:szCs w:val="36"/>
        </w:rPr>
        <w:t xml:space="preserve">«مَن قال في مؤمنٍ ما ليس فيه، أسكنَه اللهُ رَدْغةَ الخَبال حتى يخرُجَ ممّا قال»</w:t>
      </w:r>
      <w:r>
        <w:rPr>
          <w:rStyle w:val="a5"/>
          <w:sz w:val="36"/>
          <w:szCs w:val="36"/>
        </w:rPr>
        <w:footnoteReference w:id="6"/>
      </w:r>
    </w:p>
    <w:p>
      <w:pPr>
        <w:spacing w:after="140" w:line="340" w:lineRule="auto"/>
        <w:jc w:val="both"/>
      </w:pPr>
      <w:r>
        <w:rPr>
          <w:color w:val="1A1A1A"/>
          <w:sz w:val="36"/>
          <w:szCs w:val="36"/>
        </w:rPr>
        <w:t xml:space="preserve">ورَدْغةُ الخَبال: عُصارةُ أهلِ النار.</w:t>
      </w:r>
    </w:p>
    <w:p>
      <w:pPr>
        <w:spacing w:before="200" w:after="100"/>
      </w:pPr>
      <w:r>
        <w:rPr>
          <w:b/>
          <w:bCs/>
          <w:color w:val="1A1A1A"/>
          <w:sz w:val="36"/>
          <w:szCs w:val="36"/>
        </w:rPr>
        <w:t xml:space="preserve">٣) استجلابُ العقوبة</w:t>
      </w:r>
    </w:p>
    <w:p>
      <w:pPr>
        <w:spacing w:after="140" w:line="340" w:lineRule="auto"/>
        <w:jc w:val="both"/>
      </w:pPr>
      <w:r>
        <w:rPr>
          <w:color w:val="1A1A1A"/>
          <w:sz w:val="36"/>
          <w:szCs w:val="36"/>
        </w:rPr>
        <w:t xml:space="preserve">وهذا مقامٌ يَغفُلُ عنه كثيرٌ من الناس؛ مقامٌ يكثُرُ فيه تسخُّطُ الناسِ ودعاؤهم على أنفسِهم وأولادِهم. وفي </w:t>
      </w:r>
      <w:r>
        <w:rPr>
          <w:b/>
          <w:bCs/>
          <w:color w:val="1F5C3A"/>
          <w:sz w:val="36"/>
          <w:szCs w:val="36"/>
        </w:rPr>
        <w:t xml:space="preserve">«صحيح البخاري»</w:t>
      </w:r>
      <w:r>
        <w:rPr>
          <w:color w:val="1A1A1A"/>
          <w:sz w:val="36"/>
          <w:szCs w:val="36"/>
        </w:rPr>
        <w:t xml:space="preserve"> أنّ النبيَّ ﷺ عادَ رجلًا مريضًا فقال:</w:t>
      </w:r>
    </w:p>
    <w:p>
      <w:pPr>
        <w:pBdr>
          <w:right w:val="single" w:sz="12" w:space="10" w:color="8A6A1F"/>
        </w:pBdr>
        <w:spacing w:before="120" w:after="160" w:line="320" w:lineRule="auto"/>
        <w:ind w:left="504" w:right="504"/>
        <w:jc w:val="both"/>
      </w:pPr>
      <w:r>
        <w:rPr>
          <w:b/>
          <w:bCs/>
          <w:color w:val="1F5C3A"/>
          <w:sz w:val="36"/>
          <w:szCs w:val="36"/>
        </w:rPr>
        <w:t xml:space="preserve">«لا بأسَ، طَهورٌ إن شاء الله»</w:t>
      </w:r>
    </w:p>
    <w:p>
      <w:pPr>
        <w:spacing w:after="140" w:line="340" w:lineRule="auto"/>
        <w:jc w:val="both"/>
      </w:pPr>
      <w:r>
        <w:rPr>
          <w:color w:val="1A1A1A"/>
          <w:sz w:val="36"/>
          <w:szCs w:val="36"/>
        </w:rPr>
        <w:t xml:space="preserve">فقال الرجل: كلّا، بل هي حُمّى تفورُ على شيخٍ كبيرٍ تُزيرُه القبور! فقال ﷺ:</w:t>
      </w:r>
    </w:p>
    <w:p>
      <w:pPr>
        <w:pBdr>
          <w:right w:val="single" w:sz="12" w:space="10" w:color="8A6A1F"/>
        </w:pBdr>
        <w:spacing w:before="120" w:after="160" w:line="320" w:lineRule="auto"/>
        <w:ind w:left="504" w:right="504"/>
        <w:jc w:val="both"/>
      </w:pPr>
      <w:r>
        <w:rPr>
          <w:b/>
          <w:bCs/>
          <w:color w:val="1F5C3A"/>
          <w:sz w:val="36"/>
          <w:szCs w:val="36"/>
        </w:rPr>
        <w:t xml:space="preserve">«فنعم إذًا»</w:t>
      </w:r>
      <w:r>
        <w:rPr>
          <w:rStyle w:val="a5"/>
          <w:sz w:val="36"/>
          <w:szCs w:val="36"/>
        </w:rPr>
        <w:footnoteReference w:id="7"/>
      </w:r>
    </w:p>
    <w:p>
      <w:pPr>
        <w:spacing w:after="140" w:line="340" w:lineRule="auto"/>
        <w:jc w:val="both"/>
      </w:pPr>
      <w:r>
        <w:rPr>
          <w:color w:val="1A1A1A"/>
          <w:sz w:val="36"/>
          <w:szCs w:val="36"/>
        </w:rPr>
        <w:t xml:space="preserve">فأصبحَ الرجلُ مَيْتًا. فإيّاك وقولًا غيرَ سديدٍ تدعو به على نفسِك أو ولدِك، أو تتسخَّطُ به فتجلِبُ لنفسِك ضَنكَ العيش.</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العليَّ الأعلى ربَّ العرشِ العظيمِ أن يجعلني وإخواني السامعين من أصحابِ القولِ السديد الذين ترتفعُ بأقوالِهم درجاتُهم في عالي الجِنان؛ إنه وليُّ ذلك والقادرُ عليه.</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وأحمدُ من حديث معاذ بن جبل ﵁، وقال الترمذي: «حسن صحيح»، وصححه الألباني.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 وقد قال ﷺ لها في روايةٍ عند البخاري: «يا عائشةُ، إنّ اللهَ لا يُحِبُّ الفُحشَ والتفحُّش».</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أبي هريرة ﵁ في حديثِ الوَليِّ المشهور.</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وأحمدُ من حديث عبد الله بن مسعود ﵁، وقال الترمذي: «حسن غريب»، وصححه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في أصلِه؛ أخرجه البخاريُّ من حديث أبي هريرة ﵁، وعند مسلمٍ نحوُه. وفي روايةٍ: «يَهوي بها في النارِ أبعدَ ممّا بين المشرقِ والمغرب». (وأمّا لفظُ «سبعينَ خريفًا» فهو في حديثٍ آخرَ عند الترمذيِّ في الرجلِ يتكلَّمُ بالكلمة.)</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وأحمدُ من حديث ابن عمر ﵄، وصححه الألباني.</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ابن عباس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