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المُخدِّراتُ والمُسكِرات</w:t>
      </w:r>
    </w:p>
    <w:p>
      <w:pPr>
        <w:spacing w:after="120"/>
      </w:pPr>
      <w:r>
        <w:rPr>
          <w:color w:val="8A6A1F"/>
          <w:sz w:val="36"/>
          <w:szCs w:val="36"/>
        </w:rPr>
        <w:t xml:space="preserve">حكمُها، وآثارُها، وطرقُ عِلاجِها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آفةُ العصرِ ومصيبةُ الدهر</w:t>
      </w:r>
    </w:p>
    <w:p>
      <w:pPr>
        <w:spacing w:after="140" w:line="340" w:lineRule="auto"/>
        <w:jc w:val="both"/>
      </w:pPr>
      <w:r>
        <w:rPr>
          <w:color w:val="1A1A1A"/>
          <w:sz w:val="36"/>
          <w:szCs w:val="36"/>
        </w:rPr>
        <w:t xml:space="preserve">وبعدُ، أحبَّتي في الله، معاشرَ المصلِّين: آفةٌ تُهلِكُ النفوسَ وتُذهِبُ العقول، هي رأسُ طلائعِ الآثام؛ من اعتادَها لم يُفرِّقْ بين القبائحِ والفضائلِ ولا بين المحارمِ والحلائل.</w:t>
      </w:r>
    </w:p>
    <w:p>
      <w:pPr>
        <w:spacing w:after="140" w:line="340" w:lineRule="auto"/>
        <w:jc w:val="both"/>
      </w:pPr>
      <w:r>
        <w:rPr>
          <w:color w:val="1A1A1A"/>
          <w:sz w:val="36"/>
          <w:szCs w:val="36"/>
        </w:rPr>
        <w:t xml:space="preserve">حديثي اليومَ عن المُخدِّراتِ والمُسكِرات؛ تلك الآفةِ التي ما تركَتْ حيًّا إلا دخلَتْه فدمَّرَتِ العقولَ وأزهقَتِ النفوسَ وأحرقَتِ الديار. وسيكونُ الكلامُ عن حُكمِها، وشيءٍ من آثارِها، وكيفيةِ عِلاجِها.</w:t>
      </w:r>
    </w:p>
    <w:p>
      <w:pPr>
        <w:spacing w:before="260" w:after="120"/>
      </w:pPr>
      <w:r>
        <w:rPr>
          <w:b/>
          <w:bCs/>
          <w:color w:val="1F5C3A"/>
          <w:sz w:val="36"/>
          <w:szCs w:val="36"/>
        </w:rPr>
        <w:t xml:space="preserve">أولًا: حُكمُها</w:t>
      </w:r>
    </w:p>
    <w:p>
      <w:pPr>
        <w:spacing w:after="140" w:line="340" w:lineRule="auto"/>
        <w:jc w:val="both"/>
      </w:pPr>
      <w:r>
        <w:rPr>
          <w:color w:val="1A1A1A"/>
          <w:sz w:val="36"/>
          <w:szCs w:val="36"/>
        </w:rPr>
        <w:t xml:space="preserve">وأُقدِّمُ المخدِّراتِ على المسكرات؛ لأنّ النفوسَ الضعيفةَ قد يُفتيها شيطانُها بحِلِّ المخدِّراتِ فضلًا عن المسكرات.</w:t>
      </w:r>
    </w:p>
    <w:p>
      <w:pPr>
        <w:spacing w:after="140" w:line="340" w:lineRule="auto"/>
        <w:jc w:val="both"/>
      </w:pPr>
      <w:r>
        <w:rPr>
          <w:color w:val="1A1A1A"/>
          <w:sz w:val="36"/>
          <w:szCs w:val="36"/>
        </w:rPr>
        <w:t xml:space="preserve">فاعلَمْ أنّ المسكراتِ والمخدِّراتِ حرامٌ بنصِّ كلامِ اللهِ وكلامِ رسولِه ﷺ وبإجماعِ الأمَّة. قال سبحانه:</w:t>
      </w:r>
    </w:p>
    <w:p>
      <w:pPr>
        <w:pBdr>
          <w:right w:val="single" w:sz="12" w:space="10" w:color="8A6A1F"/>
        </w:pBdr>
        <w:spacing w:before="120" w:after="160" w:line="320" w:lineRule="auto"/>
        <w:ind w:left="504" w:right="504"/>
        <w:jc w:val="both"/>
      </w:pPr>
      <w:r>
        <w:rPr>
          <w:b/>
          <w:bCs/>
          <w:color w:val="8A6A1F"/>
          <w:sz w:val="36"/>
          <w:szCs w:val="36"/>
        </w:rPr>
        <w:t xml:space="preserve">﴿إِنَّمَا الْخَمْرُ وَالْمَيْسِرُ وَالْأَنصَابُ وَالْأَزْلَامُ رِجْسٌ مِّنْ عَمَلِ الشَّيْطَانِ فَاجْتَنِبُوهُ لَعَلَّكُمْ تُفْلِحُونَ﴾</w:t>
      </w:r>
    </w:p>
    <w:p>
      <w:pPr>
        <w:spacing w:after="140" w:line="340" w:lineRule="auto"/>
        <w:jc w:val="both"/>
      </w:pPr>
      <w:r>
        <w:rPr>
          <w:color w:val="1A1A1A"/>
          <w:sz w:val="36"/>
          <w:szCs w:val="36"/>
        </w:rPr>
        <w:t xml:space="preserve">واسمَعْ كيف صُدِّرَتِ الآيةُ بـ</w:t>
      </w:r>
      <w:r>
        <w:rPr>
          <w:b/>
          <w:bCs/>
          <w:color w:val="8A6A1F"/>
          <w:sz w:val="36"/>
          <w:szCs w:val="36"/>
        </w:rPr>
        <w:t xml:space="preserve">﴿إِنَّمَا﴾</w:t>
      </w:r>
      <w:r>
        <w:rPr>
          <w:color w:val="1A1A1A"/>
          <w:sz w:val="36"/>
          <w:szCs w:val="36"/>
        </w:rPr>
        <w:t xml:space="preserve"> وهي للحصر، وكيف قال </w:t>
      </w:r>
      <w:r>
        <w:rPr>
          <w:b/>
          <w:bCs/>
          <w:color w:val="8A6A1F"/>
          <w:sz w:val="36"/>
          <w:szCs w:val="36"/>
        </w:rPr>
        <w:t xml:space="preserve">﴿رِجْسٌ﴾</w:t>
      </w:r>
      <w:r>
        <w:rPr>
          <w:color w:val="1A1A1A"/>
          <w:sz w:val="36"/>
          <w:szCs w:val="36"/>
        </w:rPr>
        <w:t xml:space="preserve"> ثم ثنّى بـ</w:t>
      </w:r>
      <w:r>
        <w:rPr>
          <w:b/>
          <w:bCs/>
          <w:color w:val="8A6A1F"/>
          <w:sz w:val="36"/>
          <w:szCs w:val="36"/>
        </w:rPr>
        <w:t xml:space="preserve">﴿فَاجْتَنِبُوهُ﴾</w:t>
      </w:r>
      <w:r>
        <w:rPr>
          <w:color w:val="1A1A1A"/>
          <w:sz w:val="36"/>
          <w:szCs w:val="36"/>
        </w:rPr>
        <w:t xml:space="preserve">.</w:t>
      </w:r>
    </w:p>
    <w:p>
      <w:pPr>
        <w:spacing w:after="140" w:line="340" w:lineRule="auto"/>
        <w:jc w:val="both"/>
      </w:pPr>
      <w:r>
        <w:rPr>
          <w:color w:val="1A1A1A"/>
          <w:sz w:val="36"/>
          <w:szCs w:val="36"/>
        </w:rPr>
        <w:t xml:space="preserve">وروى مسلمٌ أنّ رجلًا سألَ النبيَّ ﷺ عن شرابٍ يُصنَعُ باليمنِ من الذُّرَةِ يُسمّى </w:t>
      </w:r>
      <w:r>
        <w:rPr>
          <w:b/>
          <w:bCs/>
          <w:color w:val="1F5C3A"/>
          <w:sz w:val="36"/>
          <w:szCs w:val="36"/>
        </w:rPr>
        <w:t xml:space="preserve">«المِزْر»</w:t>
      </w:r>
      <w:r>
        <w:rPr>
          <w:color w:val="1A1A1A"/>
          <w:sz w:val="36"/>
          <w:szCs w:val="36"/>
        </w:rPr>
        <w:t xml:space="preserve">، فقال ﷺ: </w:t>
      </w:r>
      <w:r>
        <w:rPr>
          <w:b/>
          <w:bCs/>
          <w:color w:val="1F5C3A"/>
          <w:sz w:val="36"/>
          <w:szCs w:val="36"/>
        </w:rPr>
        <w:t xml:space="preserve">«أَمُسكِرٌ هو؟»</w:t>
      </w:r>
      <w:r>
        <w:rPr>
          <w:color w:val="1A1A1A"/>
          <w:sz w:val="36"/>
          <w:szCs w:val="36"/>
        </w:rPr>
        <w:t xml:space="preserve"> قال: نعم. قال:</w:t>
      </w:r>
    </w:p>
    <w:p>
      <w:pPr>
        <w:pBdr>
          <w:right w:val="single" w:sz="12" w:space="10" w:color="8A6A1F"/>
        </w:pBdr>
        <w:spacing w:before="120" w:after="160" w:line="320" w:lineRule="auto"/>
        <w:ind w:left="504" w:right="504"/>
        <w:jc w:val="both"/>
      </w:pPr>
      <w:r>
        <w:rPr>
          <w:b/>
          <w:bCs/>
          <w:color w:val="1F5C3A"/>
          <w:sz w:val="36"/>
          <w:szCs w:val="36"/>
        </w:rPr>
        <w:t xml:space="preserve">«كلُّ مُسكِرٍ خمر، وكلُّ خمرٍ حرام»</w:t>
      </w:r>
      <w:r>
        <w:rPr>
          <w:rStyle w:val="a5"/>
          <w:sz w:val="36"/>
          <w:szCs w:val="36"/>
        </w:rPr>
        <w:footnoteReference w:id="1"/>
      </w:r>
    </w:p>
    <w:p>
      <w:pPr>
        <w:spacing w:after="140" w:line="340" w:lineRule="auto"/>
        <w:jc w:val="both"/>
      </w:pPr>
      <w:r>
        <w:rPr>
          <w:color w:val="1A1A1A"/>
          <w:sz w:val="36"/>
          <w:szCs w:val="36"/>
        </w:rPr>
        <w:t xml:space="preserve">فكلُّ ما غيَّبَ العقلَ وغطّاه فهو خمرٌ يا مسلم؛ فالحشيشُ والأفيونُ والحبوبُ المخدِّرةُ كلُّها داخلةٌ في هذا. وأخرجَ أصحابُ السننِ عن أمِّ سلمةَ ﵂ قالت:</w:t>
      </w:r>
    </w:p>
    <w:p>
      <w:pPr>
        <w:pBdr>
          <w:right w:val="single" w:sz="12" w:space="10" w:color="8A6A1F"/>
        </w:pBdr>
        <w:spacing w:before="120" w:after="160" w:line="320" w:lineRule="auto"/>
        <w:ind w:left="504" w:right="504"/>
        <w:jc w:val="both"/>
      </w:pPr>
      <w:r>
        <w:rPr>
          <w:b/>
          <w:bCs/>
          <w:color w:val="1F5C3A"/>
          <w:sz w:val="36"/>
          <w:szCs w:val="36"/>
        </w:rPr>
        <w:t xml:space="preserve">«نهى رسولُ اللهِ ﷺ عن كلِّ مُسكِرٍ ومُفتِّر»</w:t>
      </w:r>
      <w:r>
        <w:rPr>
          <w:rStyle w:val="a5"/>
          <w:sz w:val="36"/>
          <w:szCs w:val="36"/>
        </w:rPr>
        <w:footnoteReference w:id="2"/>
      </w:r>
    </w:p>
    <w:p>
      <w:pPr>
        <w:spacing w:after="140" w:line="340" w:lineRule="auto"/>
        <w:jc w:val="both"/>
      </w:pPr>
      <w:r>
        <w:rPr>
          <w:color w:val="1A1A1A"/>
          <w:sz w:val="36"/>
          <w:szCs w:val="36"/>
        </w:rPr>
        <w:t xml:space="preserve">فالمخدِّراتُ: إمّا مُسكِرةٌ وإمّا مُفتِّرة، وكلاهما منهيٌّ عنه. وصحَّ عن ابنِ عمرَ ﵄ أنه قال: ما أُبالي أن أشربَ الخمرَ أو أعبُدَ هذه السارية.</w:t>
      </w:r>
      <w:r>
        <w:rPr>
          <w:rStyle w:val="a5"/>
          <w:sz w:val="36"/>
          <w:szCs w:val="36"/>
        </w:rPr>
        <w:footnoteReference w:id="3"/>
      </w:r>
      <w:r>
        <w:rPr>
          <w:color w:val="1A1A1A"/>
          <w:sz w:val="36"/>
          <w:szCs w:val="36"/>
        </w:rPr>
        <w:t xml:space="preserve"> وقال ﷺ:</w:t>
      </w:r>
    </w:p>
    <w:p>
      <w:pPr>
        <w:pBdr>
          <w:right w:val="single" w:sz="12" w:space="10" w:color="8A6A1F"/>
        </w:pBdr>
        <w:spacing w:before="120" w:after="160" w:line="320" w:lineRule="auto"/>
        <w:ind w:left="504" w:right="504"/>
        <w:jc w:val="both"/>
      </w:pPr>
      <w:r>
        <w:rPr>
          <w:b/>
          <w:bCs/>
          <w:color w:val="1F5C3A"/>
          <w:sz w:val="36"/>
          <w:szCs w:val="36"/>
        </w:rPr>
        <w:t xml:space="preserve">«مُدمِنُ الخمرِ كعابدِ وَثَن»</w:t>
      </w:r>
      <w:r>
        <w:rPr>
          <w:rStyle w:val="a5"/>
          <w:sz w:val="36"/>
          <w:szCs w:val="36"/>
        </w:rPr>
        <w:footnoteReference w:id="4"/>
      </w:r>
    </w:p>
    <w:p>
      <w:pPr>
        <w:spacing w:before="260" w:after="120"/>
      </w:pPr>
      <w:r>
        <w:rPr>
          <w:b/>
          <w:bCs/>
          <w:color w:val="1F5C3A"/>
          <w:sz w:val="36"/>
          <w:szCs w:val="36"/>
        </w:rPr>
        <w:t xml:space="preserve">ثانيًا: آثارُها</w:t>
      </w:r>
    </w:p>
    <w:p>
      <w:pPr>
        <w:spacing w:before="200" w:after="100"/>
      </w:pPr>
      <w:r>
        <w:rPr>
          <w:b/>
          <w:bCs/>
          <w:color w:val="1A1A1A"/>
          <w:sz w:val="36"/>
          <w:szCs w:val="36"/>
        </w:rPr>
        <w:t xml:space="preserve">١) أنها مِفتاحُ الشرور</w:t>
      </w:r>
    </w:p>
    <w:p>
      <w:pPr>
        <w:spacing w:after="140" w:line="340" w:lineRule="auto"/>
        <w:jc w:val="both"/>
      </w:pPr>
      <w:r>
        <w:rPr>
          <w:color w:val="1A1A1A"/>
          <w:sz w:val="36"/>
          <w:szCs w:val="36"/>
        </w:rPr>
        <w:t xml:space="preserve">قال أبو الدرداءِ ﵁: أوصاني خليلي ﷺ ألّا أُشرِكَ باللهِ شيئًا وإن قُطِّعتُ وحُرِّقت... وذكَرَ من وصيَّتِه:</w:t>
      </w:r>
    </w:p>
    <w:p>
      <w:pPr>
        <w:pBdr>
          <w:right w:val="single" w:sz="12" w:space="10" w:color="8A6A1F"/>
        </w:pBdr>
        <w:spacing w:before="120" w:after="160" w:line="320" w:lineRule="auto"/>
        <w:ind w:left="504" w:right="504"/>
        <w:jc w:val="both"/>
      </w:pPr>
      <w:r>
        <w:rPr>
          <w:b/>
          <w:bCs/>
          <w:color w:val="1F5C3A"/>
          <w:sz w:val="36"/>
          <w:szCs w:val="36"/>
        </w:rPr>
        <w:t xml:space="preserve">«ولا تشرَبِ الخمر؛ فإنها مفتاحُ كلِّ شرّ»</w:t>
      </w:r>
      <w:r>
        <w:rPr>
          <w:rStyle w:val="a5"/>
          <w:sz w:val="36"/>
          <w:szCs w:val="36"/>
        </w:rPr>
        <w:footnoteReference w:id="5"/>
      </w:r>
    </w:p>
    <w:p>
      <w:pPr>
        <w:spacing w:after="140" w:line="340" w:lineRule="auto"/>
        <w:jc w:val="both"/>
      </w:pPr>
      <w:r>
        <w:rPr>
          <w:color w:val="1A1A1A"/>
          <w:sz w:val="36"/>
          <w:szCs w:val="36"/>
        </w:rPr>
        <w:t xml:space="preserve">وجاء في الخبرِ عن عثمانَ ﵁ قصةُ رجلٍ خُيِّرَ بين أن يشربَ خمرًا أو يقتُلَ نفسًا أو يزنيَ، فاستهانَ بالخمرِ فاختارَها؛ فلمّا سكِرَ لم يترُكْ من ذلك شيئًا إلا فعلَه.</w:t>
      </w:r>
      <w:r>
        <w:rPr>
          <w:rStyle w:val="a5"/>
          <w:sz w:val="36"/>
          <w:szCs w:val="36"/>
        </w:rPr>
        <w:footnoteReference w:id="6"/>
      </w:r>
      <w:r>
        <w:rPr>
          <w:color w:val="1A1A1A"/>
          <w:sz w:val="36"/>
          <w:szCs w:val="36"/>
        </w:rPr>
        <w:t xml:space="preserve"> فإنّ مَناطَ التكليفِ هو العقل؛ فإن ذهبَ لم يُفرِّقِ العبدُ بين حلالٍ وحرام.</w:t>
      </w:r>
    </w:p>
    <w:p>
      <w:pPr>
        <w:spacing w:after="140" w:line="340" w:lineRule="auto"/>
        <w:jc w:val="both"/>
      </w:pPr>
      <w:r>
        <w:rPr>
          <w:color w:val="1A1A1A"/>
          <w:sz w:val="36"/>
          <w:szCs w:val="36"/>
        </w:rPr>
        <w:t xml:space="preserve">ولذلك جاء عن عليٍّ ﵁ قولُه: تغيَّرَ دينُ المجوسِ بشَربةِ خمر ـ في إشارةٍ إلى ما استحلُّوه بعدُ من نكاحِ المحارم.</w:t>
      </w:r>
      <w:r>
        <w:rPr>
          <w:rStyle w:val="a5"/>
          <w:sz w:val="36"/>
          <w:szCs w:val="36"/>
        </w:rPr>
        <w:footnoteReference w:id="7"/>
      </w:r>
    </w:p>
    <w:p>
      <w:pPr>
        <w:spacing w:before="200" w:after="100"/>
      </w:pPr>
      <w:r>
        <w:rPr>
          <w:b/>
          <w:bCs/>
          <w:color w:val="1A1A1A"/>
          <w:sz w:val="36"/>
          <w:szCs w:val="36"/>
        </w:rPr>
        <w:t xml:space="preserve">٢) الوعيدُ بحِرمانِ الجنَّة</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«لا يدخُلُ الجنةَ مُدمِنُ خمر»</w:t>
      </w:r>
      <w:r>
        <w:rPr>
          <w:rStyle w:val="a5"/>
          <w:sz w:val="36"/>
          <w:szCs w:val="36"/>
        </w:rPr>
        <w:footnoteReference w:id="8"/>
      </w:r>
    </w:p>
    <w:p>
      <w:pPr>
        <w:spacing w:after="140" w:line="340" w:lineRule="auto"/>
        <w:jc w:val="both"/>
      </w:pPr>
      <w:r>
        <w:rPr>
          <w:color w:val="1A1A1A"/>
          <w:sz w:val="36"/>
          <w:szCs w:val="36"/>
        </w:rPr>
        <w:t xml:space="preserve">وهذا وعيدٌ شديدٌ يُجرى على ظاهرِه للزَّجرِ والتخويف، ومَحمَلُه عند أهلِ السنَّةِ ـ كما قرَّروا في نصوصِ الوعيد ـ أنه لا يدخُلُها مع أوَّلِ الداخلين، أو أنّ الأمرَ فيه إلى اللهِ إن شاء عذَّبَه وإن شاء غفرَ له، لا أنه مُخلَّدٌ في النارِ خلودَ الكفّار.</w:t>
      </w:r>
    </w:p>
    <w:p>
      <w:pPr>
        <w:spacing w:before="200" w:after="100"/>
      </w:pPr>
      <w:r>
        <w:rPr>
          <w:b/>
          <w:bCs/>
          <w:color w:val="1A1A1A"/>
          <w:sz w:val="36"/>
          <w:szCs w:val="36"/>
        </w:rPr>
        <w:t xml:space="preserve">٣) طينةُ الخَبال</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«مَن شرِبَ الخمرَ فسكِر، لم تُقبَلْ له صلاةٌ أربعينَ صباحًا؛ وإن ماتَ دخلَ النار»</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«إنّ على اللهِ عهدًا لمن شرِبَ المُسكِرَ أن يَسقيَه من طينةِ الخَبال»</w:t>
      </w:r>
    </w:p>
    <w:p>
      <w:pPr>
        <w:spacing w:after="140" w:line="340" w:lineRule="auto"/>
        <w:jc w:val="both"/>
      </w:pPr>
      <w:r>
        <w:rPr>
          <w:color w:val="1A1A1A"/>
          <w:sz w:val="36"/>
          <w:szCs w:val="36"/>
        </w:rPr>
        <w:t xml:space="preserve">قالوا: يا رسولَ الله، وما طينةُ الخَبال؟ قال: </w:t>
      </w:r>
      <w:r>
        <w:rPr>
          <w:b/>
          <w:bCs/>
          <w:color w:val="1F5C3A"/>
          <w:sz w:val="36"/>
          <w:szCs w:val="36"/>
        </w:rPr>
        <w:t xml:space="preserve">«عَرَقُ أهلِ النار ـ أو عُصارةُ أهلِ النار»</w:t>
      </w:r>
      <w:r>
        <w:rPr>
          <w:color w:val="1A1A1A"/>
          <w:sz w:val="36"/>
          <w:szCs w:val="36"/>
        </w:rPr>
        <w:t xml:space="preserve">.</w:t>
      </w:r>
      <w:r>
        <w:rPr>
          <w:rStyle w:val="a5"/>
          <w:sz w:val="36"/>
          <w:szCs w:val="36"/>
        </w:rPr>
        <w:footnoteReference w:id="9"/>
      </w:r>
    </w:p>
    <w:p>
      <w:pPr>
        <w:spacing w:before="200" w:after="100"/>
      </w:pPr>
      <w:r>
        <w:rPr>
          <w:b/>
          <w:bCs/>
          <w:color w:val="1A1A1A"/>
          <w:sz w:val="36"/>
          <w:szCs w:val="36"/>
        </w:rPr>
        <w:t xml:space="preserve">٤) الذُّلُّ والهَوان</w:t>
      </w:r>
    </w:p>
    <w:p>
      <w:pPr>
        <w:spacing w:after="140" w:line="340" w:lineRule="auto"/>
        <w:jc w:val="both"/>
      </w:pPr>
      <w:r>
        <w:rPr>
          <w:color w:val="1A1A1A"/>
          <w:sz w:val="36"/>
          <w:szCs w:val="36"/>
        </w:rPr>
        <w:t xml:space="preserve">تأمَّلْ في حالِ المُدمِنين ـ عافانا اللهُ وإياكم ـ فإنّ قلبَك يتفطَّرُ حين ترى أُسَرًا تُدمَّرُ ونساءً تُطلَّقُ وأولادًا يضيعون وأموالًا تُسرَق، وشبابًا في عمرِ الزهورِ تذهبُ أعمارُهم لا في طلبِ علمٍ ولا في نفعِ أمَّة. إنّ الذي يظُنُّ أنه يُمتِّعُ رُوحَه فهو ـ واللهِ ـ مخدوع؛ فقد فُضِّلَ الإنسانُ بالعقل، فيأتي فيَغتالُ عقلَه فيصيرُ كالبهيمة.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نبيِّه وعبدِه، وعلى آلِه وصحبِه ومن سار على دربِه إلى يومِ يُبعَثون. أمّا بعدُ، يا كرام: فإنّ من العدلِ والرحمةِ بالأمَّةِ ـ بعد ذكرِ الحكمِ والآثارِ ـ أن نذكُرَ العلاج؛ فلسنا بمعصومين.</w:t>
      </w:r>
    </w:p>
    <w:p>
      <w:pPr>
        <w:spacing w:before="260" w:after="120"/>
      </w:pPr>
      <w:r>
        <w:rPr>
          <w:b/>
          <w:bCs/>
          <w:color w:val="1F5C3A"/>
          <w:sz w:val="36"/>
          <w:szCs w:val="36"/>
        </w:rPr>
        <w:t xml:space="preserve">ثالثًا: عِلاجُها</w:t>
      </w:r>
    </w:p>
    <w:p>
      <w:pPr>
        <w:spacing w:before="200" w:after="100"/>
      </w:pPr>
      <w:r>
        <w:rPr>
          <w:b/>
          <w:bCs/>
          <w:color w:val="1A1A1A"/>
          <w:sz w:val="36"/>
          <w:szCs w:val="36"/>
        </w:rPr>
        <w:t xml:space="preserve">١) إقامةُ شرعِ اللهِ في هذا الباب</w:t>
      </w:r>
    </w:p>
    <w:p>
      <w:pPr>
        <w:spacing w:after="140" w:line="340" w:lineRule="auto"/>
        <w:jc w:val="both"/>
      </w:pPr>
      <w:r>
        <w:rPr>
          <w:color w:val="1A1A1A"/>
          <w:sz w:val="36"/>
          <w:szCs w:val="36"/>
        </w:rPr>
        <w:t xml:space="preserve">فإني لَأعجَبُ من مجتمعاتٍ تُكافِحُ المخدِّراتِ ثم لا تُقيمُ حكمَ اللهِ في التاجرِ والمُروِّجِ والمتعاطي. وقد جعلَ اللهُ لشاربِ المُسكِرِ حدًّا مُقدَّرًا في الشريعة، تُقيمُه السلطةُ صاحبةُ الولايةِ عبرَ قضائِها، بشروطِه المعروفةِ عند الفقهاء، لا آحادُ الناس.</w:t>
      </w:r>
    </w:p>
    <w:p>
      <w:pPr>
        <w:spacing w:after="140" w:line="340" w:lineRule="auto"/>
        <w:jc w:val="both"/>
      </w:pPr>
      <w:r>
        <w:rPr>
          <w:color w:val="1A1A1A"/>
          <w:sz w:val="36"/>
          <w:szCs w:val="36"/>
        </w:rPr>
        <w:t xml:space="preserve">وأمّا ما وردَ في بعضِ الروايات: </w:t>
      </w:r>
      <w:r>
        <w:rPr>
          <w:b/>
          <w:bCs/>
          <w:color w:val="1F5C3A"/>
          <w:sz w:val="36"/>
          <w:szCs w:val="36"/>
        </w:rPr>
        <w:t xml:space="preserve">«فإن عادَ في الرابعةِ فاقتُلوه»</w:t>
      </w:r>
      <w:r>
        <w:rPr>
          <w:color w:val="1A1A1A"/>
          <w:sz w:val="36"/>
          <w:szCs w:val="36"/>
        </w:rPr>
        <w:t xml:space="preserve"> ـ فقد أجمعَ أهلُ العلمِ على تركِ العملِ به، وقرَّروا أنه منسوخٌ؛ قال النوويُّ: </w:t>
      </w:r>
      <w:r>
        <w:rPr>
          <w:b/>
          <w:bCs/>
          <w:color w:val="1F5C3A"/>
          <w:sz w:val="36"/>
          <w:szCs w:val="36"/>
        </w:rPr>
        <w:t xml:space="preserve">«هو حديثٌ منسوخٌ دلَّ الإجماعُ على نسخِه»</w:t>
      </w:r>
      <w:r>
        <w:rPr>
          <w:color w:val="1A1A1A"/>
          <w:sz w:val="36"/>
          <w:szCs w:val="36"/>
        </w:rPr>
        <w:t xml:space="preserve">، وقال ابنُ تيمية: </w:t>
      </w:r>
      <w:r>
        <w:rPr>
          <w:b/>
          <w:bCs/>
          <w:color w:val="1F5C3A"/>
          <w:sz w:val="36"/>
          <w:szCs w:val="36"/>
        </w:rPr>
        <w:t xml:space="preserve">«والقتلُ عند أكثرِ العلماءِ منسوخ»</w:t>
      </w:r>
      <w:r>
        <w:rPr>
          <w:color w:val="1A1A1A"/>
          <w:sz w:val="36"/>
          <w:szCs w:val="36"/>
        </w:rPr>
        <w:t xml:space="preserve">. ونصَّ الترمذيُّ على أنه ليس في كتابِه حديثٌ أجمعَتِ الأمَّةُ على تركِ العملِ به إلا هذا وحديثًا آخَر.</w:t>
      </w:r>
      <w:r>
        <w:rPr>
          <w:rStyle w:val="a5"/>
          <w:sz w:val="36"/>
          <w:szCs w:val="36"/>
        </w:rPr>
        <w:footnoteReference w:id="10"/>
      </w:r>
      <w:r>
        <w:rPr>
          <w:color w:val="1A1A1A"/>
          <w:sz w:val="36"/>
          <w:szCs w:val="36"/>
        </w:rPr>
        <w:t xml:space="preserve"> فلا يُبنى عليه حكمٌ اليوم بحال.</w:t>
      </w:r>
    </w:p>
    <w:p>
      <w:pPr>
        <w:spacing w:after="140" w:line="340" w:lineRule="auto"/>
        <w:jc w:val="both"/>
      </w:pPr>
      <w:r>
        <w:rPr>
          <w:color w:val="1A1A1A"/>
          <w:sz w:val="36"/>
          <w:szCs w:val="36"/>
        </w:rPr>
        <w:t xml:space="preserve">ثم إنّ من أعجبِ ما يُقال: مُكافَحةُ المخدِّراتِ وبابُ الخمّارةِ مفتوح! فأيُّ عقلٍ هذا؟</w:t>
      </w:r>
    </w:p>
    <w:p>
      <w:pPr>
        <w:spacing w:before="200" w:after="100"/>
      </w:pPr>
      <w:r>
        <w:rPr>
          <w:b/>
          <w:bCs/>
          <w:color w:val="1A1A1A"/>
          <w:sz w:val="36"/>
          <w:szCs w:val="36"/>
        </w:rPr>
        <w:t xml:space="preserve">٢) اجتنابُ صاحبِ السوء</w:t>
      </w:r>
    </w:p>
    <w:p>
      <w:pPr>
        <w:spacing w:after="140" w:line="340" w:lineRule="auto"/>
        <w:jc w:val="both"/>
      </w:pPr>
      <w:r>
        <w:rPr>
          <w:color w:val="1A1A1A"/>
          <w:sz w:val="36"/>
          <w:szCs w:val="36"/>
        </w:rPr>
        <w:t xml:space="preserve">فواللهِ إنّ من أعظمِ أسبابِ الانتشارِ ـ وعدمِ قدرةِ المبتلَينَ على الخلاص ـ أصحابَ السوء. فهذا الذي يُعطيك أوَّلَ حبَّةٍ هو سببُ دمارِك؛ فتخلَّصْ منه في الدنيا قبل أن يتبرَّأَ منك يومَ القيامة، ولا تُجامِلْ على حسابِ دينِك.</w:t>
      </w:r>
    </w:p>
    <w:p>
      <w:pPr>
        <w:spacing w:before="200" w:after="100"/>
      </w:pPr>
      <w:r>
        <w:rPr>
          <w:b/>
          <w:bCs/>
          <w:color w:val="1A1A1A"/>
          <w:sz w:val="36"/>
          <w:szCs w:val="36"/>
        </w:rPr>
        <w:t xml:space="preserve">٣) رسالةٌ إلى المُروِّج</w:t>
      </w:r>
    </w:p>
    <w:p>
      <w:pPr>
        <w:spacing w:after="140" w:line="340" w:lineRule="auto"/>
        <w:jc w:val="both"/>
      </w:pPr>
      <w:r>
        <w:rPr>
          <w:color w:val="1A1A1A"/>
          <w:sz w:val="36"/>
          <w:szCs w:val="36"/>
        </w:rPr>
        <w:t xml:space="preserve">استشعِرْ بقلبِك أنّ هذه الحبَّةَ سيشتريها غدًا ولدُك، ثم يجني على أهلِك وذُرِّيَّتِك؛ لأنك كنتَ تُحطِّمُ بيوتَ المسلمين ببيعِها. فاتَّقِ اللهَ في ذُرِّيَّتِك وفي شبابِ المسلمين؛ فواللهِ لَيسألَنَّك اللهُ عن كلِّ شابٍّ كنتَ سببًا في ضياعِه، وعن كلِّ بيتٍ كنتَ سببًا في خرابِه. فذَرْ هذه التجارةَ التي هي دمارٌ عليك في الدنيا قبل الآخرة.</w:t>
      </w:r>
    </w:p>
    <w:p>
      <w:pPr>
        <w:spacing w:before="200" w:after="100"/>
      </w:pPr>
      <w:r>
        <w:rPr>
          <w:b/>
          <w:bCs/>
          <w:color w:val="1A1A1A"/>
          <w:sz w:val="36"/>
          <w:szCs w:val="36"/>
        </w:rPr>
        <w:t xml:space="preserve">٤) سؤالُ اللهِ العافية</w:t>
      </w:r>
    </w:p>
    <w:p>
      <w:pPr>
        <w:spacing w:after="140" w:line="340" w:lineRule="auto"/>
        <w:jc w:val="both"/>
      </w:pPr>
      <w:r>
        <w:rPr>
          <w:color w:val="1A1A1A"/>
          <w:sz w:val="36"/>
          <w:szCs w:val="36"/>
        </w:rPr>
        <w:t xml:space="preserve">فيا من عافاك اللهُ: سَلْه العافية؛ فإنّ هذه الآفةَ لا تُجامِل، تدخُلُ الأحياءَ والبيوت. وإيّاك أن تغفُلَ عن سؤالِ العافيةِ فتشمَتَ بالمبتلَين؛ فقد قال ﷺ:</w:t>
      </w:r>
    </w:p>
    <w:p>
      <w:pPr>
        <w:pBdr>
          <w:right w:val="single" w:sz="12" w:space="10" w:color="8A6A1F"/>
        </w:pBdr>
        <w:spacing w:before="120" w:after="160" w:line="320" w:lineRule="auto"/>
        <w:ind w:left="504" w:right="504"/>
        <w:jc w:val="both"/>
      </w:pPr>
      <w:r>
        <w:rPr>
          <w:b/>
          <w:bCs/>
          <w:color w:val="1F5C3A"/>
          <w:sz w:val="36"/>
          <w:szCs w:val="36"/>
        </w:rPr>
        <w:t xml:space="preserve">«لا تُظهِرِ الشماتةَ لأخيك فيرحمَه اللهُ ويبتليَك»</w:t>
      </w:r>
      <w:r>
        <w:rPr>
          <w:rStyle w:val="a5"/>
          <w:sz w:val="36"/>
          <w:szCs w:val="36"/>
        </w:rPr>
        <w:footnoteReference w:id="11"/>
      </w:r>
    </w:p>
    <w:p>
      <w:pPr>
        <w:spacing w:after="140" w:line="340" w:lineRule="auto"/>
        <w:jc w:val="both"/>
      </w:pPr>
      <w:r>
        <w:rPr>
          <w:color w:val="1A1A1A"/>
          <w:sz w:val="36"/>
          <w:szCs w:val="36"/>
        </w:rPr>
        <w:t xml:space="preserve">فاسأَلِ اللهَ العافيةَ لك ولذُرِّيَّتِك، واحمَدْه على ما عافاك.</w:t>
      </w:r>
    </w:p>
    <w:p>
      <w:pPr>
        <w:spacing w:before="200" w:after="100"/>
      </w:pPr>
      <w:r>
        <w:rPr>
          <w:b/>
          <w:bCs/>
          <w:color w:val="1A1A1A"/>
          <w:sz w:val="36"/>
          <w:szCs w:val="36"/>
        </w:rPr>
        <w:t xml:space="preserve">٥) بابُ التوبةِ مفتوح</w:t>
      </w:r>
    </w:p>
    <w:p>
      <w:pPr>
        <w:spacing w:after="140" w:line="340" w:lineRule="auto"/>
        <w:jc w:val="both"/>
      </w:pPr>
      <w:r>
        <w:rPr>
          <w:color w:val="1A1A1A"/>
          <w:sz w:val="36"/>
          <w:szCs w:val="36"/>
        </w:rPr>
        <w:t xml:space="preserve">أيها المُدمِنُ، مهما أسرفتَ على نفسِك: </w:t>
      </w:r>
      <w:r>
        <w:rPr>
          <w:b/>
          <w:bCs/>
          <w:color w:val="8A6A1F"/>
          <w:sz w:val="36"/>
          <w:szCs w:val="36"/>
        </w:rPr>
        <w:t xml:space="preserve">﴿قُلْ يَا عِبَادِيَ الَّذِينَ أَسْرَفُوا عَلَىٰ أَنفُسِهِمْ لَا تَقْنَطُوا مِن رَّحْمَةِ اللَّهِ﴾</w:t>
      </w:r>
      <w:r>
        <w:rPr>
          <w:color w:val="1A1A1A"/>
          <w:sz w:val="36"/>
          <w:szCs w:val="36"/>
        </w:rPr>
        <w:t xml:space="preserve">. بابُ التوبةِ مفتوحٌ لا يملِكُ أحدٌ أن يُغلِقَه في وجهِك؛ ولكنِ انتبِهْ: ثمَّةَ موعِدُ إغلاقٍ لا يعلمُه أحد، فبادِرْ قبل أن يُغلَق.</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عافانا اللهُ وإياكم، وسلَّمَنا وكلَّ أحبابِنا وذُرِّيّاتِنا من آفةِ المسكراتِ والمخدِّرات؛ إنه وليُّ ذلك والقادرُ عليه. اللهم اغفِرْ للمسلمين والمسلمات، الأحياءِ منهم والأموات.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ابن عمر ﵄؛ وقصةُ سؤالِ أهلِ اليمنِ عن «المِزْر» عند البخاريِّ ومسلمٍ من حديث أبي موسى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أمِّ سلمة ﵂، وحسَّنه الألباني. و«المُفتِّر»: ما يُورِثُ الفتورَ والخَدَرَ في الجسد.</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عبد الله بن عمر ﵄؛ أخرجه النسائيُّ في «الكبرى» وغيرُه.</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وأحمدُ من حديث أبي هريرة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من حديث أبي الدرداء ﵁،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عثمان بن عفان ﵁؛ أخرجه النسائيُّ في «الكبرى» والبيهقيُّ، وصححه بعضُ أهلِ العلمِ موقوفًا.</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يُروى عن عليٍّ ﵁ في كتبِ الآثار.</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وأحمدُ من حديث أبي هريرة وابنِ عمرَ ﵄، وصححه الألباني.</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الحديثانِ أخرجهما مسلمٌ من حديث عبد الله بن عمرو وجابرٍ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حديثُ القتلِ في الرابعةِ أخرجه أبو داود والترمذيُّ وابنُ ماجه من حديث معاويةَ ﵁؛ وقد نصَّ الترمذيُّ والنوويُّ وابنُ المنذرِ وابنُ تيميةَ وغيرُهم على أنّ الأمَّةَ أجمعَتْ على تركِ العملِ به وأنه منسوخ، لِما ثبتَ من قولِه ﷺ: «لا يَحِلُّ دمُ امرئٍ مسلمٍ إلا بإحدى ثلاث».</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واثِلةَ بنِ الأسقعِ ﵁، وحسَّنه بعضُ أهلِ العلم.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