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مقامُ رسولِ اللهِ ﷺ</w:t>
      </w:r>
    </w:p>
    <w:p>
      <w:pPr>
        <w:spacing w:after="120"/>
      </w:pPr>
      <w:r>
        <w:rPr>
          <w:color w:val="8A6A1F"/>
          <w:sz w:val="36"/>
          <w:szCs w:val="36"/>
        </w:rPr>
        <w:t xml:space="preserve">مقامُه عند ربِّه، ومقامُه بين أمَّتِه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مقامٌ تعجَزُ عنه الكلمات</w:t>
      </w:r>
    </w:p>
    <w:p>
      <w:pPr>
        <w:spacing w:after="140" w:line="340" w:lineRule="auto"/>
        <w:jc w:val="both"/>
      </w:pPr>
      <w:r>
        <w:rPr>
          <w:color w:val="1A1A1A"/>
          <w:sz w:val="36"/>
          <w:szCs w:val="36"/>
        </w:rPr>
        <w:t xml:space="preserve">وبعدُ، أحبَّتي في الله، معاشرَ المصلِّين: **كعادتي أمسكتُ القلمَ وفتَّشتُ في الحروفِ لعلِّي أجِدُ ما أُقدِّمُ به لهذا المقام؛ غير أنّ نفسي ما طاوعَتْني.** فإنّ الكلماتِ تعجَزُ والعباراتِ تَضيعُ أمامَ **مقامِ النبيِّ ﷺ**.</w:t>
      </w:r>
    </w:p>
    <w:p>
      <w:pPr>
        <w:spacing w:after="140" w:line="340" w:lineRule="auto"/>
        <w:jc w:val="both"/>
      </w:pPr>
      <w:r>
        <w:rPr>
          <w:color w:val="1A1A1A"/>
          <w:sz w:val="36"/>
          <w:szCs w:val="36"/>
        </w:rPr>
        <w:t xml:space="preserve">**فأَرْعوني قلوبَكم قبل أسماعِكم؛ فالمقامُ عظيم.**</w:t>
      </w:r>
    </w:p>
    <w:p>
      <w:pPr>
        <w:spacing w:before="260" w:after="120"/>
      </w:pPr>
      <w:r>
        <w:rPr>
          <w:b/>
          <w:bCs/>
          <w:color w:val="1F5C3A"/>
          <w:sz w:val="36"/>
          <w:szCs w:val="36"/>
        </w:rPr>
        <w:t xml:space="preserve">أولًا: مقامُه عند ربِّه جلَّ وعلا</w:t>
      </w:r>
    </w:p>
    <w:p>
      <w:pPr>
        <w:spacing w:before="200" w:after="100"/>
      </w:pPr>
      <w:r>
        <w:rPr>
          <w:b/>
          <w:bCs/>
          <w:color w:val="1A1A1A"/>
          <w:sz w:val="36"/>
          <w:szCs w:val="36"/>
        </w:rPr>
        <w:t xml:space="preserve">١) المقامُ المحمودُ والشفاعةُ العُظمى</w:t>
      </w:r>
    </w:p>
    <w:p>
      <w:pPr>
        <w:spacing w:after="140" w:line="340" w:lineRule="auto"/>
        <w:jc w:val="both"/>
      </w:pPr>
      <w:r>
        <w:rPr>
          <w:color w:val="1A1A1A"/>
          <w:sz w:val="36"/>
          <w:szCs w:val="36"/>
        </w:rPr>
        <w:t xml:space="preserve">**اعلَمْ يا مسلمُ أنّ نبيَّك حظِيَ بأعظمِ مقامٍ وأشرفِه عند ربِّه.** أخرجَ البخاريُّ ومسلمٌ من حديث أبي هريرةَ ﵁ قال ﷺ:</w:t>
      </w:r>
    </w:p>
    <w:p>
      <w:pPr>
        <w:pBdr>
          <w:right w:val="single" w:sz="12" w:space="10" w:color="8A6A1F"/>
        </w:pBdr>
        <w:spacing w:before="120" w:after="160" w:line="320" w:lineRule="auto"/>
        <w:ind w:left="504" w:right="504"/>
        <w:jc w:val="both"/>
      </w:pPr>
      <w:r>
        <w:rPr>
          <w:b/>
          <w:bCs/>
          <w:color w:val="1F5C3A"/>
          <w:sz w:val="36"/>
          <w:szCs w:val="36"/>
        </w:rPr>
        <w:t xml:space="preserve">«أنا سيِّدُ الناسِ يومَ القيامة؛ يجمَعُ اللهُ الأوَّلينَ والآخِرينَ في صعيدٍ واحد، فتُدنيهمُ الشمسُ ويبلُغُ الناسَ من الغَمِّ والكَربِ ما لا يُطيقون. فيقولُ الناس: ألا ترَونَ ما أنتم فيه؟ ألا تنظُرونَ من يشفَعُ لكم إلى ربِّكم؟»</w:t>
      </w:r>
    </w:p>
    <w:p>
      <w:pPr>
        <w:spacing w:after="140" w:line="340" w:lineRule="auto"/>
        <w:jc w:val="both"/>
      </w:pPr>
      <w:r>
        <w:rPr>
          <w:color w:val="1A1A1A"/>
          <w:sz w:val="36"/>
          <w:szCs w:val="36"/>
        </w:rPr>
        <w:t xml:space="preserve">**فيأتونَ آدمَ ﵇** فيقول: **نفسي نفسي؛ اذهَبوا إلى غيري.** ثم نوحًا فيعتذِر، ثم إبراهيمَ فيعتذِر، ثم موسى فيعتذِر، ثم عيسى فيعتذِر ـ **وكلُّهم يقول: نفسي نفسي.**</w:t>
      </w:r>
    </w:p>
    <w:p>
      <w:pPr>
        <w:spacing w:after="140" w:line="340" w:lineRule="auto"/>
        <w:jc w:val="both"/>
      </w:pPr>
      <w:r>
        <w:rPr>
          <w:color w:val="1A1A1A"/>
          <w:sz w:val="36"/>
          <w:szCs w:val="36"/>
        </w:rPr>
        <w:t xml:space="preserve">**ثم يأتونَ محمدًا ﷺ ـ صاحبَ المقامِ المحمودِ والحوضِ المورود ـ فلا يعتذِر؛ بل يقول:**</w:t>
      </w:r>
    </w:p>
    <w:p>
      <w:pPr>
        <w:pBdr>
          <w:right w:val="single" w:sz="12" w:space="10" w:color="8A6A1F"/>
        </w:pBdr>
        <w:spacing w:before="120" w:after="160" w:line="320" w:lineRule="auto"/>
        <w:ind w:left="504" w:right="504"/>
        <w:jc w:val="both"/>
      </w:pPr>
      <w:r>
        <w:rPr>
          <w:b/>
          <w:bCs/>
          <w:color w:val="1F5C3A"/>
          <w:sz w:val="36"/>
          <w:szCs w:val="36"/>
        </w:rPr>
        <w:t xml:space="preserve">«أنا لها، أنا لها. فأنطلِقُ فآتي تحت العرشِ فأَقَعُ ساجدًا لربّي، ثم يفتَحُ اللهُ عليَّ من محامدِه وحُسنِ الثناءِ عليه شيئًا لم يفتَحْه على أحدٍ قبلي. ثم يُقال: يا محمد، ارفَعْ رأسَك؛ سَلْ تُعطَه، واشفَعْ تُشفَّعْ»</w:t>
      </w:r>
      <w:r>
        <w:rPr>
          <w:rStyle w:val="a5"/>
          <w:sz w:val="36"/>
          <w:szCs w:val="36"/>
        </w:rPr>
        <w:footnoteReference w:id="1"/>
      </w:r>
    </w:p>
    <w:p>
      <w:pPr>
        <w:spacing w:after="140" w:line="340" w:lineRule="auto"/>
        <w:jc w:val="both"/>
      </w:pPr>
      <w:r>
        <w:rPr>
          <w:color w:val="1A1A1A"/>
          <w:sz w:val="36"/>
          <w:szCs w:val="36"/>
        </w:rPr>
        <w:t xml:space="preserve">**فماذا يقولُ ﷺ في ذلك المقام؟ </w:t>
      </w:r>
      <w:r>
        <w:rPr>
          <w:b/>
          <w:bCs/>
          <w:color w:val="1F5C3A"/>
          <w:sz w:val="36"/>
          <w:szCs w:val="36"/>
        </w:rPr>
        <w:t xml:space="preserve">«أُمَّتي أُمَّتي»</w:t>
      </w:r>
      <w:r>
        <w:rPr>
          <w:color w:val="1A1A1A"/>
          <w:sz w:val="36"/>
          <w:szCs w:val="36"/>
        </w:rPr>
        <w:t xml:space="preserve">!**</w:t>
      </w:r>
    </w:p>
    <w:p>
      <w:pPr>
        <w:spacing w:after="140" w:line="340" w:lineRule="auto"/>
        <w:jc w:val="both"/>
      </w:pPr>
      <w:r>
        <w:rPr>
          <w:color w:val="1A1A1A"/>
          <w:sz w:val="36"/>
          <w:szCs w:val="36"/>
        </w:rPr>
        <w:t xml:space="preserve">**فتأمَّلْ يا مسلم:** يقومُ هذا المقامَ الكريمَ ثم لا يكونُ هَمُّه ولا سؤالُه إلا نجاتَك ـ لأنك من أمَّتِه. **وهذا هو المقامُ المحمودُ الذي وعَدَه اللهُ:** </w:t>
      </w:r>
      <w:r>
        <w:rPr>
          <w:b/>
          <w:bCs/>
          <w:color w:val="8A6A1F"/>
          <w:sz w:val="36"/>
          <w:szCs w:val="36"/>
        </w:rPr>
        <w:t xml:space="preserve">﴿عَسَىٰ أَن يَبْعَثَكَ رَبُّكَ مَقَامًا مَّحْمُودًا﴾</w:t>
      </w:r>
      <w:r>
        <w:rPr>
          <w:color w:val="1A1A1A"/>
          <w:sz w:val="36"/>
          <w:szCs w:val="36"/>
        </w:rPr>
        <w:t xml:space="preserve">.</w:t>
      </w:r>
    </w:p>
    <w:p>
      <w:pPr>
        <w:spacing w:before="200" w:after="100"/>
      </w:pPr>
      <w:r>
        <w:rPr>
          <w:b/>
          <w:bCs/>
          <w:color w:val="1A1A1A"/>
          <w:sz w:val="36"/>
          <w:szCs w:val="36"/>
        </w:rPr>
        <w:t xml:space="preserve">٢) أنه أوَّلُ من يُفتَحُ له بابُ الجنَّة</w:t>
      </w:r>
    </w:p>
    <w:p>
      <w:pPr>
        <w:spacing w:after="140" w:line="340" w:lineRule="auto"/>
        <w:jc w:val="both"/>
      </w:pPr>
      <w:r>
        <w:rPr>
          <w:color w:val="1A1A1A"/>
          <w:sz w:val="36"/>
          <w:szCs w:val="36"/>
        </w:rPr>
        <w:t xml:space="preserve">**سافِرْ بقلبِك إلى ذلك اليوم؛ ثم انظُرْ إلى موكِبِ الفائزينَ يتقدَّمُهم رسولُ اللهِ ﷺ.** قال ﷺ:</w:t>
      </w:r>
    </w:p>
    <w:p>
      <w:pPr>
        <w:pBdr>
          <w:right w:val="single" w:sz="12" w:space="10" w:color="8A6A1F"/>
        </w:pBdr>
        <w:spacing w:before="120" w:after="160" w:line="320" w:lineRule="auto"/>
        <w:ind w:left="504" w:right="504"/>
        <w:jc w:val="both"/>
      </w:pPr>
      <w:r>
        <w:rPr>
          <w:b/>
          <w:bCs/>
          <w:color w:val="1F5C3A"/>
          <w:sz w:val="36"/>
          <w:szCs w:val="36"/>
        </w:rPr>
        <w:t xml:space="preserve">«آتي بابَ الجنَّةِ يومَ القيامةِ فأستفتِح، فيقولُ الخازن: من أنت؟ فأقول: محمد. فيقول: بك أُمِرتُ ألّا أفتَحَ لأحدٍ قبلَك»</w:t>
      </w:r>
      <w:r>
        <w:rPr>
          <w:rStyle w:val="a5"/>
          <w:sz w:val="36"/>
          <w:szCs w:val="36"/>
        </w:rPr>
        <w:footnoteReference w:id="2"/>
      </w:r>
    </w:p>
    <w:p>
      <w:pPr>
        <w:spacing w:after="140" w:line="340" w:lineRule="auto"/>
        <w:jc w:val="both"/>
      </w:pPr>
      <w:r>
        <w:rPr>
          <w:color w:val="1A1A1A"/>
          <w:sz w:val="36"/>
          <w:szCs w:val="36"/>
        </w:rPr>
        <w:t xml:space="preserve">**</w:t>
      </w:r>
      <w:r>
        <w:rPr>
          <w:b/>
          <w:bCs/>
          <w:color w:val="1F5C3A"/>
          <w:sz w:val="36"/>
          <w:szCs w:val="36"/>
        </w:rPr>
        <w:t xml:space="preserve">«محمد»</w:t>
      </w:r>
      <w:r>
        <w:rPr>
          <w:color w:val="1A1A1A"/>
          <w:sz w:val="36"/>
          <w:szCs w:val="36"/>
        </w:rPr>
        <w:t xml:space="preserve"> ـ مُتجرِّدًا من كلِّ لقب؛ يقومُ مقامَ المتواضِعِ وهو مقامٌ شريف.**</w:t>
      </w:r>
    </w:p>
    <w:p>
      <w:pPr>
        <w:spacing w:after="140" w:line="340" w:lineRule="auto"/>
        <w:jc w:val="both"/>
      </w:pPr>
      <w:r>
        <w:rPr>
          <w:color w:val="1A1A1A"/>
          <w:sz w:val="36"/>
          <w:szCs w:val="36"/>
        </w:rPr>
        <w:t xml:space="preserve">**فطوبى لكم أنكم من أمَّتِه ﷺ.**</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مقامُه بين أمَّتِه</w:t>
      </w:r>
    </w:p>
    <w:p>
      <w:pPr>
        <w:spacing w:after="140" w:line="340" w:lineRule="auto"/>
        <w:jc w:val="both"/>
      </w:pPr>
      <w:r>
        <w:rPr>
          <w:color w:val="1A1A1A"/>
          <w:sz w:val="36"/>
          <w:szCs w:val="36"/>
        </w:rPr>
        <w:t xml:space="preserve">**اعلَمْ يا مسلمُ أنّ لمقامِ النبيِّ ﷺ عندك علاماتٍ ودلائل؛ فإن لم تَقُمْ في قلبِك ولسانِك وجوارحِك ـ فوَاللهِ ما عظَّمتَه، ولو رفَعتَ شِعارَ المحبَّةِ ونادَيتَ به بين المَشرِقَين.**</w:t>
      </w:r>
    </w:p>
    <w:p>
      <w:pPr>
        <w:spacing w:before="200" w:after="100"/>
      </w:pPr>
      <w:r>
        <w:rPr>
          <w:b/>
          <w:bCs/>
          <w:color w:val="1A1A1A"/>
          <w:sz w:val="36"/>
          <w:szCs w:val="36"/>
        </w:rPr>
        <w:t xml:space="preserve">العلامةُ الأولى: كثرةُ ذِكرِه والثناءِ عليه</w:t>
      </w:r>
    </w:p>
    <w:p>
      <w:pPr>
        <w:spacing w:after="140" w:line="340" w:lineRule="auto"/>
        <w:jc w:val="both"/>
      </w:pPr>
      <w:r>
        <w:rPr>
          <w:color w:val="1A1A1A"/>
          <w:sz w:val="36"/>
          <w:szCs w:val="36"/>
        </w:rPr>
        <w:t xml:space="preserve">**أسألُك بالله ـ والجوابُ عندك، لا تُسمِعْنيه:** كم مرَّةً صلَّيتَ على رسولِ اللهِ ﷺ من ليلةِ هذا اليومِ إلى قُدومِك إلى الجمعة؟</w:t>
      </w:r>
    </w:p>
    <w:p>
      <w:pPr>
        <w:spacing w:after="140" w:line="340" w:lineRule="auto"/>
        <w:jc w:val="both"/>
      </w:pPr>
      <w:r>
        <w:rPr>
          <w:color w:val="1A1A1A"/>
          <w:sz w:val="36"/>
          <w:szCs w:val="36"/>
        </w:rPr>
        <w:t xml:space="preserve">**إنّ كثرةَ الصلاةِ عليه لَدليلُ صِدقٍ وشاهدُ عدلٍ على تعظيمِك له.** وقد قال ﷺ:</w:t>
      </w:r>
    </w:p>
    <w:p>
      <w:pPr>
        <w:pBdr>
          <w:right w:val="single" w:sz="12" w:space="10" w:color="8A6A1F"/>
        </w:pBdr>
        <w:spacing w:before="120" w:after="160" w:line="320" w:lineRule="auto"/>
        <w:ind w:left="504" w:right="504"/>
        <w:jc w:val="both"/>
      </w:pPr>
      <w:r>
        <w:rPr>
          <w:b/>
          <w:bCs/>
          <w:color w:val="1F5C3A"/>
          <w:sz w:val="36"/>
          <w:szCs w:val="36"/>
        </w:rPr>
        <w:t xml:space="preserve">«مَن صلّى عليَّ واحدةً صلّى اللهُ عليه بها عشرًا»</w:t>
      </w:r>
      <w:r>
        <w:rPr>
          <w:rStyle w:val="a5"/>
          <w:sz w:val="36"/>
          <w:szCs w:val="36"/>
        </w:rPr>
        <w:footnoteReference w:id="3"/>
      </w:r>
    </w:p>
    <w:p>
      <w:pPr>
        <w:spacing w:after="140" w:line="340" w:lineRule="auto"/>
        <w:jc w:val="both"/>
      </w:pPr>
      <w:r>
        <w:rPr>
          <w:color w:val="1A1A1A"/>
          <w:sz w:val="36"/>
          <w:szCs w:val="36"/>
        </w:rPr>
        <w:t xml:space="preserve">**ونحن نذكُرُ الدنيا وأهلَها لأننا نُعظِّمُ الدنيا وأهلَها؛ وأمّا مقامُه ﷺ في قلوبِنا وعلى ألسنتِنا فضعيف. وبعضُنا يبخَلُ بالصلاةِ عليه؛** وقد قال ﷺ: **</w:t>
      </w:r>
      <w:r>
        <w:rPr>
          <w:b/>
          <w:bCs/>
          <w:color w:val="1F5C3A"/>
          <w:sz w:val="36"/>
          <w:szCs w:val="36"/>
        </w:rPr>
        <w:t xml:space="preserve">«البخيلُ من ذُكِرتُ عندَه فلم يُصَلِّ عليّ»</w:t>
      </w:r>
      <w:r>
        <w:rPr>
          <w:color w:val="1A1A1A"/>
          <w:sz w:val="36"/>
          <w:szCs w:val="36"/>
        </w:rPr>
        <w:t xml:space="preserve">**.</w:t>
      </w:r>
      <w:r>
        <w:rPr>
          <w:rStyle w:val="a5"/>
          <w:sz w:val="36"/>
          <w:szCs w:val="36"/>
        </w:rPr>
        <w:footnoteReference w:id="4"/>
      </w:r>
    </w:p>
    <w:p>
      <w:pPr>
        <w:spacing w:before="200" w:after="100"/>
      </w:pPr>
      <w:r>
        <w:rPr>
          <w:b/>
          <w:bCs/>
          <w:color w:val="1A1A1A"/>
          <w:sz w:val="36"/>
          <w:szCs w:val="36"/>
        </w:rPr>
        <w:t xml:space="preserve">العلامةُ الثانية: التأدُّبُ عند ذِكرِه وسماعِ حديثِه</w:t>
      </w:r>
    </w:p>
    <w:p>
      <w:pPr>
        <w:spacing w:after="140" w:line="340" w:lineRule="auto"/>
        <w:jc w:val="both"/>
      </w:pPr>
      <w:r>
        <w:rPr>
          <w:color w:val="1A1A1A"/>
          <w:sz w:val="36"/>
          <w:szCs w:val="36"/>
        </w:rPr>
        <w:t xml:space="preserve">**وهذا من أعظمِ دلائلِ التعظيمِ بعد الاتِّباع.** وقد حفِظَ لنا تاريخُ أمَّتِنا صُوَرًا مُشرِقة:</w:t>
      </w:r>
    </w:p>
    <w:p>
      <w:pPr>
        <w:spacing w:after="140" w:line="340" w:lineRule="auto"/>
        <w:jc w:val="both"/>
      </w:pPr>
      <w:r>
        <w:rPr>
          <w:color w:val="1A1A1A"/>
          <w:sz w:val="36"/>
          <w:szCs w:val="36"/>
        </w:rPr>
        <w:t xml:space="preserve">**كان الإمامُ مالكٌ ﵀ يقولُ عن أيّوبَ السَّخْتِيانيِّ ﵀:** حجَجتُ معه مرَّتَينِ ولم أكُنْ أروي عنه قبل ذلك؛ **فكان إذا ذكَرَ النبيَّ ﷺ بكى حتى نَرحَمَه.**</w:t>
      </w:r>
    </w:p>
    <w:p>
      <w:pPr>
        <w:spacing w:after="140" w:line="340" w:lineRule="auto"/>
        <w:jc w:val="both"/>
      </w:pPr>
      <w:r>
        <w:rPr>
          <w:color w:val="1A1A1A"/>
          <w:sz w:val="36"/>
          <w:szCs w:val="36"/>
        </w:rPr>
        <w:t xml:space="preserve">**ومالكٌ نفسُه** ـ يقولُ مُصعَبُ بنُ عبد الله: **كان إذا ذُكِرَ النبيُّ ﷺ يتغيَّرُ لونُه ويَنحَني حتى يصعُبَ على أصحابِه ذلك؛ فيقولُ لهم: </w:t>
      </w:r>
      <w:r>
        <w:rPr>
          <w:b/>
          <w:bCs/>
          <w:color w:val="1F5C3A"/>
          <w:sz w:val="36"/>
          <w:szCs w:val="36"/>
        </w:rPr>
        <w:t xml:space="preserve">«لو رأيتُم ما رأيتُ لَعذَرتُموني»</w:t>
      </w:r>
      <w:r>
        <w:rPr>
          <w:color w:val="1A1A1A"/>
          <w:sz w:val="36"/>
          <w:szCs w:val="36"/>
        </w:rPr>
        <w:t xml:space="preserve">.** وكان إذا أرادَ أن يُحدِّثَ بحديثِ رسولِ اللهِ ﷺ توضَّأَ ولبِسَ أحسنَ ثيابِه ثم جلَسَ في وَقارٍ وقال: **</w:t>
      </w:r>
      <w:r>
        <w:rPr>
          <w:b/>
          <w:bCs/>
          <w:color w:val="1F5C3A"/>
          <w:sz w:val="36"/>
          <w:szCs w:val="36"/>
        </w:rPr>
        <w:t xml:space="preserve">«أُحِبُّ أن أُعظِّمَ حديثَ رسولِ اللهِ ﷺ»</w:t>
      </w:r>
      <w:r>
        <w:rPr>
          <w:color w:val="1A1A1A"/>
          <w:sz w:val="36"/>
          <w:szCs w:val="36"/>
        </w:rPr>
        <w:t xml:space="preserve">**.</w:t>
      </w:r>
    </w:p>
    <w:p>
      <w:pPr>
        <w:spacing w:after="140" w:line="340" w:lineRule="auto"/>
        <w:jc w:val="both"/>
      </w:pPr>
      <w:r>
        <w:rPr>
          <w:color w:val="1A1A1A"/>
          <w:sz w:val="36"/>
          <w:szCs w:val="36"/>
        </w:rPr>
        <w:t xml:space="preserve">**ومحمدُ بنُ المُنكَدِرِ** ـ سيِّدٌ من سادةِ التابعين ـ كان إذا ذُكِرَ النبيُّ ﷺ **يبكي حتى يُرحَمَ له**. **وعبدُ الرحمنِ بنُ القاسمِ** كان إذا ذُكِرَ النبيُّ ﷺ **يَبِسَ لسانُه في فمِه هَيبةً وإجلالًا.**</w:t>
      </w:r>
      <w:r>
        <w:rPr>
          <w:rStyle w:val="a5"/>
          <w:sz w:val="36"/>
          <w:szCs w:val="36"/>
        </w:rPr>
        <w:footnoteReference w:id="5"/>
      </w:r>
    </w:p>
    <w:p>
      <w:pPr>
        <w:spacing w:after="140" w:line="340" w:lineRule="auto"/>
        <w:jc w:val="both"/>
      </w:pPr>
      <w:r>
        <w:rPr>
          <w:color w:val="1A1A1A"/>
          <w:sz w:val="36"/>
          <w:szCs w:val="36"/>
        </w:rPr>
        <w:t xml:space="preserve">**فما الذي يُبكيهم ولا يُبكينا؟! وكم سمِعْنا: </w:t>
      </w:r>
      <w:r>
        <w:rPr>
          <w:b/>
          <w:bCs/>
          <w:color w:val="1F5C3A"/>
          <w:sz w:val="36"/>
          <w:szCs w:val="36"/>
        </w:rPr>
        <w:t xml:space="preserve">«قال رسولُ اللهِ ﷺ»</w:t>
      </w:r>
      <w:r>
        <w:rPr>
          <w:color w:val="1A1A1A"/>
          <w:sz w:val="36"/>
          <w:szCs w:val="36"/>
        </w:rPr>
        <w:t xml:space="preserve"> ـ فألقَينا قولَه وراءَ ظهورِنا؟!**</w:t>
      </w:r>
    </w:p>
    <w:p>
      <w:pPr>
        <w:spacing w:before="200" w:after="100"/>
      </w:pPr>
      <w:r>
        <w:rPr>
          <w:b/>
          <w:bCs/>
          <w:color w:val="1A1A1A"/>
          <w:sz w:val="36"/>
          <w:szCs w:val="36"/>
        </w:rPr>
        <w:t xml:space="preserve">العلامةُ الثالثة: الاستعدادُ للتضحيةِ دِفاعًا عنه</w:t>
      </w:r>
    </w:p>
    <w:p>
      <w:pPr>
        <w:spacing w:after="140" w:line="340" w:lineRule="auto"/>
        <w:jc w:val="both"/>
      </w:pPr>
      <w:r>
        <w:rPr>
          <w:color w:val="1A1A1A"/>
          <w:sz w:val="36"/>
          <w:szCs w:val="36"/>
        </w:rPr>
        <w:t xml:space="preserve">**وقد سجَّلَ الصحابةُ الأطهارُ أعظمَ الدلائل:**</w:t>
      </w:r>
    </w:p>
    <w:p>
      <w:pPr>
        <w:spacing w:after="140" w:line="340" w:lineRule="auto"/>
        <w:jc w:val="both"/>
      </w:pPr>
      <w:r>
        <w:rPr>
          <w:color w:val="1A1A1A"/>
          <w:sz w:val="36"/>
          <w:szCs w:val="36"/>
        </w:rPr>
        <w:t xml:space="preserve">**فهذا طلحةُ بنُ عُبيدِ اللهِ ﵁** يومَ أُحُد؛ لمّا انكشفَ المسلمونَ **وقى النبيَّ ﷺ بنفسِه، حتى إنه ﷺ استصعبَ الصعودَ على الصخرةِ فجلسَ طلحةُ تحته فصعِدَ ﷺ على ظهرِه**، فقال ﷺ: **</w:t>
      </w:r>
      <w:r>
        <w:rPr>
          <w:b/>
          <w:bCs/>
          <w:color w:val="1F5C3A"/>
          <w:sz w:val="36"/>
          <w:szCs w:val="36"/>
        </w:rPr>
        <w:t xml:space="preserve">«أَوجَبَ طلحة»</w:t>
      </w:r>
      <w:r>
        <w:rPr>
          <w:color w:val="1A1A1A"/>
          <w:sz w:val="36"/>
          <w:szCs w:val="36"/>
        </w:rPr>
        <w:t xml:space="preserve">**. **ثم ذهبَتِ السيوفُ تنهالُ على النبيِّ ﷺ فوقاه طلحةُ بكفِّه ـ فشُلَّتْ يدُه ﵁؛ لقيَ اللهَ بيدٍ شَلّاءَ دافعَ بها عن رسولِ اللهِ ﷺ.**</w:t>
      </w:r>
      <w:r>
        <w:rPr>
          <w:rStyle w:val="a5"/>
          <w:sz w:val="36"/>
          <w:szCs w:val="36"/>
        </w:rPr>
        <w:footnoteReference w:id="6"/>
      </w:r>
    </w:p>
    <w:p>
      <w:pPr>
        <w:pBdr>
          <w:right w:val="single" w:sz="12" w:space="10" w:color="8A6A1F"/>
        </w:pBdr>
        <w:spacing w:before="120" w:after="160" w:line="320" w:lineRule="auto"/>
        <w:ind w:left="504" w:right="504"/>
        <w:jc w:val="both"/>
      </w:pPr>
      <w:r>
        <w:rPr>
          <w:b/>
          <w:bCs/>
          <w:color w:val="1F5C3A"/>
          <w:sz w:val="36"/>
          <w:szCs w:val="36"/>
        </w:rPr>
        <w:t xml:space="preserve">وطلحةُ يومَ الشِّعبِ آسى محمدًا ... على ساعةٍ ضاقَتْ عليه وضاقَتِ</w:t>
      </w:r>
    </w:p>
    <w:p>
      <w:pPr>
        <w:pBdr>
          <w:right w:val="single" w:sz="12" w:space="10" w:color="8A6A1F"/>
        </w:pBdr>
        <w:spacing w:before="120" w:after="160" w:line="320" w:lineRule="auto"/>
        <w:ind w:left="504" w:right="504"/>
        <w:jc w:val="both"/>
      </w:pPr>
      <w:r>
        <w:rPr>
          <w:b/>
          <w:bCs/>
          <w:color w:val="1F5C3A"/>
          <w:sz w:val="36"/>
          <w:szCs w:val="36"/>
        </w:rPr>
        <w:t xml:space="preserve">يقيه بكفَّيه الرِّماحَ وقد رأى ... مَنيَّتَه فيها ولم يَتَلَفَّتِ</w:t>
      </w:r>
    </w:p>
    <w:p>
      <w:pPr>
        <w:spacing w:after="140" w:line="340" w:lineRule="auto"/>
        <w:jc w:val="both"/>
      </w:pPr>
      <w:r>
        <w:rPr>
          <w:color w:val="1A1A1A"/>
          <w:sz w:val="36"/>
          <w:szCs w:val="36"/>
        </w:rPr>
        <w:t xml:space="preserve">**وهذا سعدُ بنُ الربيعِ ﵁** يومَ أُحُد؛ بعثَ إليه ﷺ زيدَ بنَ ثابتٍ يتفقَّدُه، **فوجَدَه في الرَّمَقِ الأخيرِ فأقرأَه سلامَ رسولِ اللهِ ﷺ وسألَه: كيف تَجِدُك؟** فقال:</w:t>
      </w:r>
    </w:p>
    <w:p>
      <w:pPr>
        <w:pBdr>
          <w:right w:val="single" w:sz="12" w:space="10" w:color="8A6A1F"/>
        </w:pBdr>
        <w:spacing w:before="120" w:after="160" w:line="320" w:lineRule="auto"/>
        <w:ind w:left="504" w:right="504"/>
        <w:jc w:val="both"/>
      </w:pPr>
      <w:r>
        <w:rPr>
          <w:b/>
          <w:bCs/>
          <w:color w:val="1F5C3A"/>
          <w:sz w:val="36"/>
          <w:szCs w:val="36"/>
        </w:rPr>
        <w:t xml:space="preserve">«وعلى رسولِ اللهِ السلام؛ قُلْ له: يا رسولَ الله، أَجِدُ ريحَ الجنَّة. وقُلْ لقومي الأنصار: لا عُذرَ لكم عند اللهِ إن خُلِصَ إلى رسولِ اللهِ ﷺ وفيكم عينٌ تَطرِف»</w:t>
      </w:r>
      <w:r>
        <w:rPr>
          <w:rStyle w:val="a5"/>
          <w:sz w:val="36"/>
          <w:szCs w:val="36"/>
        </w:rPr>
        <w:footnoteReference w:id="7"/>
      </w:r>
    </w:p>
    <w:p>
      <w:pPr>
        <w:spacing w:after="140" w:line="340" w:lineRule="auto"/>
        <w:jc w:val="both"/>
      </w:pPr>
      <w:r>
        <w:rPr>
          <w:color w:val="1A1A1A"/>
          <w:sz w:val="36"/>
          <w:szCs w:val="36"/>
        </w:rPr>
        <w:t xml:space="preserve">**وهذا عبدُ اللهِ بنُ أُنَيسٍ ﵁؛** لمّا بلَغَ النبيَّ ﷺ أنّ **خالدَ بنَ سُفيانَ بنِ نُبَيحٍ الهُذَليَّ** يجمَعُ الجموعَ لغَزوِ المدينةِ والقضاءِ عليه ﷺ، **بعثَه في سَريَّةٍ فقتَلَه؛ فلمّا قدِمَ قال ﷺ: </w:t>
      </w:r>
      <w:r>
        <w:rPr>
          <w:b/>
          <w:bCs/>
          <w:color w:val="1F5C3A"/>
          <w:sz w:val="36"/>
          <w:szCs w:val="36"/>
        </w:rPr>
        <w:t xml:space="preserve">«أفلحَ الوجه»</w:t>
      </w:r>
      <w:r>
        <w:rPr>
          <w:color w:val="1A1A1A"/>
          <w:sz w:val="36"/>
          <w:szCs w:val="36"/>
        </w:rPr>
        <w:t xml:space="preserve">. ثم أعطاه عصًا وقال:**</w:t>
      </w:r>
    </w:p>
    <w:p>
      <w:pPr>
        <w:pBdr>
          <w:right w:val="single" w:sz="12" w:space="10" w:color="8A6A1F"/>
        </w:pBdr>
        <w:spacing w:before="120" w:after="160" w:line="320" w:lineRule="auto"/>
        <w:ind w:left="504" w:right="504"/>
        <w:jc w:val="both"/>
      </w:pPr>
      <w:r>
        <w:rPr>
          <w:b/>
          <w:bCs/>
          <w:color w:val="1F5C3A"/>
          <w:sz w:val="36"/>
          <w:szCs w:val="36"/>
        </w:rPr>
        <w:t xml:space="preserve">«هذه آيةٌ بيني وبينك يومَ القيامة»</w:t>
      </w:r>
    </w:p>
    <w:p>
      <w:pPr>
        <w:spacing w:after="140" w:line="340" w:lineRule="auto"/>
        <w:jc w:val="both"/>
      </w:pPr>
      <w:r>
        <w:rPr>
          <w:color w:val="1A1A1A"/>
          <w:sz w:val="36"/>
          <w:szCs w:val="36"/>
        </w:rPr>
        <w:t xml:space="preserve">**فما فارقَتْه حتى ماتَ؛ فأوصى أن تُجعَلَ معه في كفنِه.**</w:t>
      </w:r>
      <w:r>
        <w:rPr>
          <w:rStyle w:val="a5"/>
          <w:sz w:val="36"/>
          <w:szCs w:val="36"/>
        </w:rPr>
        <w:footnoteReference w:id="8"/>
      </w:r>
    </w:p>
    <w:p>
      <w:pPr>
        <w:spacing w:after="140" w:line="340" w:lineRule="auto"/>
        <w:jc w:val="both"/>
      </w:pPr>
      <w:r>
        <w:rPr>
          <w:color w:val="1A1A1A"/>
          <w:sz w:val="36"/>
          <w:szCs w:val="36"/>
        </w:rPr>
        <w:t xml:space="preserve">**فهذه شواهدُهم على الفِداء ـ فما شواهدُك أنت حين يُنادى عليك: ماذا قدَّمتَ لهذا الدين؟ ماذا بذَلتَ لسنَّةِ نبيِّك ﷺ؟**</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يستعمِلَنا في طاعتِه ونُصرةِ نبيِّه ﷺ وإعلاءِ كلمةِ التوحيدِ والسنَّة؛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رَبَّاه، كُنْ مع إخوانِنا المُجاهِدينَ في فلسطينَ والشامِ وفي كلِّ مكان. **اللهم عليك باليهودِ المُعتدينَ ومن أعانَهم ومن والاهم فإنهم لا يُعجِزونك؛ يا ربِّ خُذْهم أخْذَ عزيزٍ مُقتدِر.** اللهم مُنزِلَ الكتاب، مُجرِيَ السحاب، هازمَ الأحزاب: اهزِمْهم وزلزِلِ الأرضَ من تحت أقدامِهم.</w:t>
      </w:r>
      <w:r>
        <w:rPr>
          <w:rStyle w:val="a5"/>
          <w:sz w:val="36"/>
          <w:szCs w:val="36"/>
        </w:rPr>
        <w:footnoteReference w:id="9"/>
      </w:r>
    </w:p>
    <w:p>
      <w:pPr>
        <w:spacing w:after="140" w:line="340" w:lineRule="auto"/>
        <w:jc w:val="both"/>
      </w:pPr>
      <w:r>
        <w:rPr>
          <w:color w:val="1A1A1A"/>
          <w:sz w:val="36"/>
          <w:szCs w:val="36"/>
        </w:rPr>
        <w:t xml:space="preserve">رَبَّاه، كما جمَعتَنا في هذا المسجدِ فاجمَعْنا في الفردوسِ الأعلى مع النبيِّ ﷺ، واجمَعْنا قبل ذلك في المسجدِ الأقصى فاتحينَ مُطهِّرين؛ إنك على كلِّ شيءٍ قدير وبالإجابةِ جدير.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في حديثِ الشفاعةِ الطويل.</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عليِّ بن أبي طالبٍ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هذه الآثارُ في تعظيمِ التابعينَ وأتباعِهم لحديثِ النبيِّ ﷺ؛ رواها القاضي عياضٌ في «الشفا» والخطيبُ في «الجامع لأخلاق الراوي» وأبو نُعيمٍ في «الحلية».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قصةُ طلحةَ ﵁ يومَ أُحُد؛ أصلُها عند البخاريِّ في «صحيحه» وأبي داود والترمذيّ، ورواها ابنُ إسحاقَ في «السيرة» بتفصيلٍ أوسَع. والبيتانِ لقيسِ بنِ الخَطيمِ أو غيرِه ممّا يُنشَدُ في فضلِ طلحةَ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مالكٌ في «الموطأ» بلاغًا، والحاكمُ في «المستدرك»، وابنُ إسحاقَ في «السيرة».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عبد الله بن أُنَيسٍ ﵁؛ وذكرَه ابنُ القيمِ في «زاد المعاد».</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