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التكافلُ الاجتماعيُّ: صُوَرُه وثمارُه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عمرُ بنُ عبد العزيز ﵀ نموذجًا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في زمن التدابر والتقاطع واللهث وراء الدنيا</w:t>
      </w:r>
      <w:r>
        <w:rPr>
          <w:rFonts w:ascii="Traditional Arabic" w:cs="Traditional Arabic" w:eastAsia="Traditional Arabic" w:hAnsi="Traditional Arabic"/>
          <w:b w:val="false"/>
          <w:bCs w:val="false"/>
          <w:i w:val="false"/>
          <w:iCs w:val="false"/>
          <w:sz w:val="28"/>
          <w:szCs w:val="28"/>
          <w:rtl/>
        </w:rPr>
        <w:t xml:space="preserve">، وفي زمنٍ ما عاد الواحدُ منّا يتكافل مع أخيه — </w:t>
      </w:r>
      <w:r>
        <w:rPr>
          <w:rFonts w:ascii="Traditional Arabic" w:cs="Traditional Arabic" w:eastAsia="Traditional Arabic" w:hAnsi="Traditional Arabic"/>
          <w:b/>
          <w:bCs/>
          <w:i w:val="false"/>
          <w:iCs w:val="false"/>
          <w:sz w:val="28"/>
          <w:szCs w:val="28"/>
          <w:rtl/>
        </w:rPr>
        <w:t xml:space="preserve">يتأكّد الحديثُ عن التكافل وصُوره وثماره</w:t>
      </w:r>
      <w:r>
        <w:rPr>
          <w:rFonts w:ascii="Traditional Arabic" w:cs="Traditional Arabic" w:eastAsia="Traditional Arabic" w:hAnsi="Traditional Arabic"/>
          <w:b w:val="false"/>
          <w:bCs w:val="false"/>
          <w:i w:val="false"/>
          <w:iCs w:val="false"/>
          <w:sz w:val="28"/>
          <w:szCs w:val="28"/>
          <w:rtl/>
        </w:rPr>
        <w:t xml:space="preserve">. ولكنّي سأُسافر بكم إلى زمنٍ جميلٍ تجلّى فيه هذا الخُلُقُ في أبهى صوره.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كان عمرُ بنُ الخطاب ﵁ يقول: </w:t>
      </w:r>
      <w:r>
        <w:rPr>
          <w:rFonts w:ascii="Traditional Arabic" w:cs="Traditional Arabic" w:eastAsia="Traditional Arabic" w:hAnsi="Traditional Arabic"/>
          <w:b/>
          <w:bCs/>
          <w:i w:val="false"/>
          <w:iCs w:val="false"/>
          <w:sz w:val="28"/>
          <w:szCs w:val="28"/>
          <w:rtl/>
        </w:rPr>
        <w:t xml:space="preserve">إنّ من ولدي رجلًا بوجهه شَجَّةٌ يملأ الأرضَ عدلًا</w:t>
      </w:r>
      <w:r>
        <w:rPr>
          <w:rStyle w:val="FootnoteReference"/>
        </w:rPr>
        <w:footnoteReference w:id="12"/>
      </w:r>
      <w:r>
        <w:rPr>
          <w:rFonts w:ascii="Traditional Arabic" w:cs="Traditional Arabic" w:eastAsia="Traditional Arabic" w:hAnsi="Traditional Arabic"/>
          <w:b w:val="false"/>
          <w:bCs w:val="false"/>
          <w:i w:val="false"/>
          <w:iCs w:val="false"/>
          <w:sz w:val="28"/>
          <w:szCs w:val="28"/>
          <w:rtl/>
        </w:rPr>
        <w:t xml:space="preserve">. فكان ابنُ عمر ﵄ يُردِّد: مَن هذا الذي من ولد عمرَ يملأ الأرضَ عدلًا؟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كان شابٌّ من بني أميّة — أبوه عبدُ العزيز بنُ مروان، وأمُّه من ولد عمرَ بن الخطاب — </w:t>
      </w:r>
      <w:r>
        <w:rPr>
          <w:rFonts w:ascii="Traditional Arabic" w:cs="Traditional Arabic" w:eastAsia="Traditional Arabic" w:hAnsi="Traditional Arabic"/>
          <w:b/>
          <w:bCs/>
          <w:i w:val="false"/>
          <w:iCs w:val="false"/>
          <w:sz w:val="28"/>
          <w:szCs w:val="28"/>
          <w:rtl/>
        </w:rPr>
        <w:t xml:space="preserve">ضربته فرسٌ في وجهه فشَجَّته، فلمّا رآه أبوه مسح الدمَ عن وجهه وقال: «إن كنتَ أشَجَّ بني أميّة إنّك إذًا لسعيد»</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التكافلُ في النصيحة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رأى فيه سليمانُ بنُ عبد الملك خيرًا فقرّبه حتى صار مستشارَه؛ </w:t>
      </w:r>
      <w:r>
        <w:rPr>
          <w:rFonts w:ascii="Traditional Arabic" w:cs="Traditional Arabic" w:eastAsia="Traditional Arabic" w:hAnsi="Traditional Arabic"/>
          <w:b/>
          <w:bCs/>
          <w:i w:val="false"/>
          <w:iCs w:val="false"/>
          <w:sz w:val="28"/>
          <w:szCs w:val="28"/>
          <w:rtl/>
        </w:rPr>
        <w:t xml:space="preserve">فكان أوّلَ ما أشار به عليه أن يعزل كلَّ الولاة الذين ولّاهم الحجّاج — فاستجاب</w:t>
      </w:r>
      <w:r>
        <w:rPr>
          <w:rFonts w:ascii="Traditional Arabic" w:cs="Traditional Arabic" w:eastAsia="Traditional Arabic" w:hAnsi="Traditional Arabic"/>
          <w:b w:val="false"/>
          <w:bCs w:val="false"/>
          <w:i w:val="false"/>
          <w:iCs w:val="false"/>
          <w:sz w:val="28"/>
          <w:szCs w:val="28"/>
          <w:rtl/>
        </w:rPr>
        <w:t xml:space="preserve">. وصحِبه في الحجّ، فنظر سليمانُ إلى جموع عرفة فقال: يا عمر، ألا ترى إلى هذه الجموع؟ </w:t>
      </w:r>
      <w:r>
        <w:rPr>
          <w:rFonts w:ascii="Traditional Arabic" w:cs="Traditional Arabic" w:eastAsia="Traditional Arabic" w:hAnsi="Traditional Arabic"/>
          <w:b/>
          <w:bCs/>
          <w:i w:val="false"/>
          <w:iCs w:val="false"/>
          <w:sz w:val="28"/>
          <w:szCs w:val="28"/>
          <w:rtl/>
        </w:rPr>
        <w:t xml:space="preserve">فقال عمر: هم اليومَ رعيّتُك، وغدًا خصماؤك بين يدي 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ليلةٍ مُطِيرةٍ اشتدّ فيها الرعدُ والبرق، قال سليمان: ما رأيتُ ليلةً قطُّ أشدَّ من هذه! </w:t>
      </w:r>
      <w:r>
        <w:rPr>
          <w:rFonts w:ascii="Traditional Arabic" w:cs="Traditional Arabic" w:eastAsia="Traditional Arabic" w:hAnsi="Traditional Arabic"/>
          <w:b/>
          <w:bCs/>
          <w:i w:val="false"/>
          <w:iCs w:val="false"/>
          <w:sz w:val="28"/>
          <w:szCs w:val="28"/>
          <w:rtl/>
        </w:rPr>
        <w:t xml:space="preserve">فقال عمر: يا أمير المؤمنين، هذا صوتُ رحمته — فكيف صوتُ عذابه؟!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وخرج سليمانُ في نزهةٍ فقدّموا الخيامَ قبلَهم، فلمّا وصلوا وجدوا خيامَهم قائمة — </w:t>
      </w:r>
      <w:r>
        <w:rPr>
          <w:rFonts w:ascii="Traditional Arabic" w:cs="Traditional Arabic" w:eastAsia="Traditional Arabic" w:hAnsi="Traditional Arabic"/>
          <w:b/>
          <w:bCs/>
          <w:i w:val="false"/>
          <w:iCs w:val="false"/>
          <w:sz w:val="28"/>
          <w:szCs w:val="28"/>
          <w:rtl/>
        </w:rPr>
        <w:t xml:space="preserve">أمّا عمرُ فلم يُقدِّم شيئًا، فوجدوه جالسًا يبكي</w:t>
      </w:r>
      <w:r>
        <w:rPr>
          <w:rFonts w:ascii="Traditional Arabic" w:cs="Traditional Arabic" w:eastAsia="Traditional Arabic" w:hAnsi="Traditional Arabic"/>
          <w:b w:val="false"/>
          <w:bCs w:val="false"/>
          <w:i w:val="false"/>
          <w:iCs w:val="false"/>
          <w:sz w:val="28"/>
          <w:szCs w:val="28"/>
          <w:rtl/>
        </w:rPr>
        <w:t xml:space="preserve">. فقال له سليمان: خيامي خيامُك! فقال: </w:t>
      </w:r>
      <w:r>
        <w:rPr>
          <w:rFonts w:ascii="Traditional Arabic" w:cs="Traditional Arabic" w:eastAsia="Traditional Arabic" w:hAnsi="Traditional Arabic"/>
          <w:b/>
          <w:bCs/>
          <w:i w:val="false"/>
          <w:iCs w:val="false"/>
          <w:sz w:val="28"/>
          <w:szCs w:val="28"/>
          <w:rtl/>
        </w:rPr>
        <w:t xml:space="preserve">ليس هذا، وإنّما تذكّرتُ يوم القيامة حين يَقدَمُ العبدُ فيجد ما قدّم بين يديه — وإنّي لم أُقدِّمْ شيئًا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﴿يَوْمَ تَجِدُ كُلُّ نَفْسٍ مَّا عَمِلَتْ مِنْ خَيْرٍ مُّحْضَرًا﴾</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التكافلُ في العدل ورَدِّ المظالم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فلمّا وُلِّي الخلافةَ صعِد المنبرَ فحمِد اللهَ وأثنى عليه </w:t>
      </w:r>
      <w:r>
        <w:rPr>
          <w:rFonts w:ascii="Traditional Arabic" w:cs="Traditional Arabic" w:eastAsia="Traditional Arabic" w:hAnsi="Traditional Arabic"/>
          <w:b/>
          <w:bCs/>
          <w:i w:val="false"/>
          <w:iCs w:val="false"/>
          <w:sz w:val="28"/>
          <w:szCs w:val="28"/>
          <w:rtl/>
        </w:rPr>
        <w:t xml:space="preserve">ثم اتّهم نفسَه بالتقصير</w:t>
      </w:r>
      <w:r>
        <w:rPr>
          <w:rFonts w:ascii="Traditional Arabic" w:cs="Traditional Arabic" w:eastAsia="Traditional Arabic" w:hAnsi="Traditional Arabic"/>
          <w:b w:val="false"/>
          <w:bCs w:val="false"/>
          <w:i w:val="false"/>
          <w:iCs w:val="false"/>
          <w:sz w:val="28"/>
          <w:szCs w:val="28"/>
          <w:rtl/>
        </w:rPr>
        <w:t xml:space="preserve">. ثم نزل فقُرِّبت له مراكبُ الخلافة فقال: </w:t>
      </w:r>
      <w:r>
        <w:rPr>
          <w:rFonts w:ascii="Traditional Arabic" w:cs="Traditional Arabic" w:eastAsia="Traditional Arabic" w:hAnsi="Traditional Arabic"/>
          <w:b/>
          <w:bCs/>
          <w:i w:val="false"/>
          <w:iCs w:val="false"/>
          <w:sz w:val="28"/>
          <w:szCs w:val="28"/>
          <w:rtl/>
        </w:rPr>
        <w:t xml:space="preserve">لا، بغلتي تكفيني</w:t>
      </w:r>
      <w:r>
        <w:rPr>
          <w:rFonts w:ascii="Traditional Arabic" w:cs="Traditional Arabic" w:eastAsia="Traditional Arabic" w:hAnsi="Traditional Arabic"/>
          <w:b w:val="false"/>
          <w:bCs w:val="false"/>
          <w:i w:val="false"/>
          <w:iCs w:val="false"/>
          <w:sz w:val="28"/>
          <w:szCs w:val="28"/>
          <w:rtl/>
        </w:rPr>
        <w:t xml:space="preserve">. وقيل: دارُ الخلافة تنتظرك، فقال: </w:t>
      </w:r>
      <w:r>
        <w:rPr>
          <w:rFonts w:ascii="Traditional Arabic" w:cs="Traditional Arabic" w:eastAsia="Traditional Arabic" w:hAnsi="Traditional Arabic"/>
          <w:b/>
          <w:bCs/>
          <w:i w:val="false"/>
          <w:iCs w:val="false"/>
          <w:sz w:val="28"/>
          <w:szCs w:val="28"/>
          <w:rtl/>
        </w:rPr>
        <w:t xml:space="preserve">بل دُوَيرتي؛ فدارُ الخلافة فيها عيالُ سليمان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وكان أوّلَ ما أمر به </w:t>
      </w:r>
      <w:r>
        <w:rPr>
          <w:rFonts w:ascii="Traditional Arabic" w:cs="Traditional Arabic" w:eastAsia="Traditional Arabic" w:hAnsi="Traditional Arabic"/>
          <w:b/>
          <w:bCs/>
          <w:i w:val="false"/>
          <w:iCs w:val="false"/>
          <w:sz w:val="28"/>
          <w:szCs w:val="28"/>
          <w:rtl/>
        </w:rPr>
        <w:t xml:space="preserve">أن يُؤخَذ ما في أيدي بني أميّة من أموالٍ سمّاها المظالم، ينتظر مَن يُطالِب بها فيُعطيه إيّاها</w:t>
      </w:r>
      <w:r>
        <w:rPr>
          <w:rFonts w:ascii="Traditional Arabic" w:cs="Traditional Arabic" w:eastAsia="Traditional Arabic" w:hAnsi="Traditional Arabic"/>
          <w:b w:val="false"/>
          <w:bCs w:val="false"/>
          <w:i w:val="false"/>
          <w:iCs w:val="false"/>
          <w:sz w:val="28"/>
          <w:szCs w:val="28"/>
          <w:rtl/>
        </w:rPr>
        <w:t xml:space="preserve"> — فاستشاط بنو أميّةَ غضبًا، فأدخلوا عليه عمّتَه تستشفع.</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فقال لها: </w:t>
      </w:r>
      <w:r>
        <w:rPr>
          <w:rFonts w:ascii="Traditional Arabic" w:cs="Traditional Arabic" w:eastAsia="Traditional Arabic" w:hAnsi="Traditional Arabic"/>
          <w:b/>
          <w:bCs/>
          <w:i w:val="false"/>
          <w:iCs w:val="false"/>
          <w:sz w:val="28"/>
          <w:szCs w:val="28"/>
          <w:rtl/>
        </w:rPr>
        <w:t xml:space="preserve">يا عمّتاه، إنّ رسولَ الله ﷺ تُوفّي وترك نهرًا يشرب منه المسلمون، ثم وليَ أبو بكرٍ فترك النهرَ على ما كان، ثم وليَ عمرُ كذلك — حتى خاض فيه من خاض ورتَع من رتَع، فلم يبقَ منه شيء. واللهِ لا أدَعُ ما أنا عليه حتى يرجع النهرُ كما كان فيشربَ منه المسلمون</w:t>
      </w:r>
      <w:r>
        <w:rPr>
          <w:rFonts w:ascii="Traditional Arabic" w:cs="Traditional Arabic" w:eastAsia="Traditional Arabic" w:hAnsi="Traditional Arabic"/>
          <w:b w:val="false"/>
          <w:bCs w:val="false"/>
          <w:i w:val="false"/>
          <w:iCs w:val="false"/>
          <w:sz w:val="28"/>
          <w:szCs w:val="28"/>
          <w:rtl/>
        </w:rPr>
        <w:t xml:space="preserve">. فخرجت العمّةُ إلى بني أميّةَ فقالت: </w:t>
      </w:r>
      <w:r>
        <w:rPr>
          <w:rFonts w:ascii="Traditional Arabic" w:cs="Traditional Arabic" w:eastAsia="Traditional Arabic" w:hAnsi="Traditional Arabic"/>
          <w:b/>
          <w:bCs/>
          <w:i w:val="false"/>
          <w:iCs w:val="false"/>
          <w:sz w:val="28"/>
          <w:szCs w:val="28"/>
          <w:rtl/>
        </w:rPr>
        <w:t xml:space="preserve">لا حاجةَ لكم بهذا الرجل!</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في بيته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تقول زوجتُه فاطمةُ بنتُ عبد الملك — </w:t>
      </w:r>
      <w:r>
        <w:rPr>
          <w:rFonts w:ascii="Traditional Arabic" w:cs="Traditional Arabic" w:eastAsia="Traditional Arabic" w:hAnsi="Traditional Arabic"/>
          <w:b/>
          <w:bCs/>
          <w:i w:val="false"/>
          <w:iCs w:val="false"/>
          <w:sz w:val="28"/>
          <w:szCs w:val="28"/>
          <w:rtl/>
        </w:rPr>
        <w:t xml:space="preserve">بنتُ الخليفة وأختُ الخلفاء وزوجُ الخليفة</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واللهِ ما رأيتُ رجلًا أخوفَ لله من عمر؛ كان يذكرُ اللهَ في فراشه فينتفضُ ويبكي حتى أقول: لَيُصبِحَنّ المسلمون ولا خليفةَ لهم!</w:t>
      </w:r>
      <w:r>
        <w:rPr>
          <w:rFonts w:ascii="Traditional Arabic" w:cs="Traditional Arabic" w:eastAsia="Traditional Arabic" w:hAnsi="Traditional Arabic"/>
          <w:b w:val="false"/>
          <w:bCs w:val="false"/>
          <w:i w:val="false"/>
          <w:iCs w:val="false"/>
          <w:sz w:val="28"/>
          <w:szCs w:val="28"/>
          <w:rtl/>
        </w:rPr>
        <w:t xml:space="preserve"> وقال لها يومًا: هل عندنا عُنقودُ عنبٍ بدرهم؟ فقالت: لا. </w:t>
      </w:r>
      <w:r>
        <w:rPr>
          <w:rFonts w:ascii="Traditional Arabic" w:cs="Traditional Arabic" w:eastAsia="Traditional Arabic" w:hAnsi="Traditional Arabic"/>
          <w:b/>
          <w:bCs/>
          <w:i w:val="false"/>
          <w:iCs w:val="false"/>
          <w:sz w:val="28"/>
          <w:szCs w:val="28"/>
          <w:rtl/>
        </w:rPr>
        <w:t xml:space="preserve">فقالت: دارُ أمير المؤمنين ولا درهمَ فيها؟! فقال: يا فاطمة، هذا أهونُ عليَّ من مُعالجة الأغلال يوم القيامة؛ إنّي أخافُ النار</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في مماته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مات إخوةٌ وأعوانٌ له على الحقّ، فتوضّأ وأقبل على مُصلّاه فقال: </w:t>
      </w:r>
      <w:r>
        <w:rPr>
          <w:rFonts w:ascii="Traditional Arabic" w:cs="Traditional Arabic" w:eastAsia="Traditional Arabic" w:hAnsi="Traditional Arabic"/>
          <w:b/>
          <w:bCs/>
          <w:i w:val="false"/>
          <w:iCs w:val="false"/>
          <w:sz w:val="28"/>
          <w:szCs w:val="28"/>
          <w:rtl/>
        </w:rPr>
        <w:t xml:space="preserve">اللهمّ إنّك قبضتَ أعواني على الخير فازددتُ لك حُبًّا؛ اللهمّ اقبِضْني إليك غيرَ مُبدِّلٍ ولا مُغيِّر</w:t>
      </w:r>
      <w:r>
        <w:rPr>
          <w:rFonts w:ascii="Traditional Arabic" w:cs="Traditional Arabic" w:eastAsia="Traditional Arabic" w:hAnsi="Traditional Arabic"/>
          <w:b w:val="false"/>
          <w:bCs w:val="false"/>
          <w:i w:val="false"/>
          <w:iCs w:val="false"/>
          <w:sz w:val="28"/>
          <w:szCs w:val="28"/>
          <w:rtl/>
        </w:rPr>
        <w:t xml:space="preserve">. ثم دُسَّ إليه السمُّ في طعامه، فاستدعى العبدَ فقال: ما حملك على هذا؟ قال: ألفُ دينارٍ وأن أُعتَق. </w:t>
      </w:r>
      <w:r>
        <w:rPr>
          <w:rFonts w:ascii="Traditional Arabic" w:cs="Traditional Arabic" w:eastAsia="Traditional Arabic" w:hAnsi="Traditional Arabic"/>
          <w:b/>
          <w:bCs/>
          <w:i w:val="false"/>
          <w:iCs w:val="false"/>
          <w:sz w:val="28"/>
          <w:szCs w:val="28"/>
          <w:rtl/>
        </w:rPr>
        <w:t xml:space="preserve">فقال: هاتِ الألف — فردّها إلى بيت مال المسلمين — وأمّا أنت فاذهبْ فإنّك حُرٌّ، ولا يراك أحد</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ودخل عليه ابنُ عمّه مَسلَمةُ فقال: </w:t>
      </w:r>
      <w:r>
        <w:rPr>
          <w:rFonts w:ascii="Traditional Arabic" w:cs="Traditional Arabic" w:eastAsia="Traditional Arabic" w:hAnsi="Traditional Arabic"/>
          <w:b/>
          <w:bCs/>
          <w:i w:val="false"/>
          <w:iCs w:val="false"/>
          <w:sz w:val="28"/>
          <w:szCs w:val="28"/>
          <w:rtl/>
        </w:rPr>
        <w:t xml:space="preserve">يا أمير المؤمنين، إنّك تركتَ أولادَك بلا شيء، فأوصِ بهم!</w:t>
      </w:r>
      <w:r>
        <w:rPr>
          <w:rFonts w:ascii="Traditional Arabic" w:cs="Traditional Arabic" w:eastAsia="Traditional Arabic" w:hAnsi="Traditional Arabic"/>
          <w:b w:val="false"/>
          <w:bCs w:val="false"/>
          <w:i w:val="false"/>
          <w:iCs w:val="false"/>
          <w:sz w:val="28"/>
          <w:szCs w:val="28"/>
          <w:rtl/>
        </w:rPr>
        <w:t xml:space="preserve"> فقال:</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أمّا أولادي فإنّهم أحدُ رجلين: </w:t>
      </w:r>
      <w:r>
        <w:rPr>
          <w:rFonts w:ascii="Traditional Arabic" w:cs="Traditional Arabic" w:eastAsia="Traditional Arabic" w:hAnsi="Traditional Arabic"/>
          <w:b/>
          <w:bCs/>
          <w:i w:val="false"/>
          <w:iCs w:val="false"/>
          <w:sz w:val="28"/>
          <w:szCs w:val="28"/>
          <w:rtl/>
        </w:rPr>
        <w:t xml:space="preserve">إمّا صالحٌ — فاللهُ يتولّى الصالحين؛ وإمّا غيرُ ذلك — فواللهِ لا أكونُ أوّلَ عونٍ له على معصية الله</w:t>
      </w:r>
      <w:r>
        <w:rPr>
          <w:rFonts w:ascii="Traditional Arabic" w:cs="Traditional Arabic" w:eastAsia="Traditional Arabic" w:hAnsi="Traditional Arabic"/>
          <w:b w:val="false"/>
          <w:bCs w:val="false"/>
          <w:i w:val="false"/>
          <w:iCs w:val="false"/>
          <w:sz w:val="28"/>
          <w:szCs w:val="28"/>
          <w:rtl/>
        </w:rPr>
        <w:t xml:space="preserve">. ثم دخل عليه أولادُه الصغار فقال: </w:t>
      </w:r>
      <w:r>
        <w:rPr>
          <w:rFonts w:ascii="Traditional Arabic" w:cs="Traditional Arabic" w:eastAsia="Traditional Arabic" w:hAnsi="Traditional Arabic"/>
          <w:b/>
          <w:bCs/>
          <w:i w:val="false"/>
          <w:iCs w:val="false"/>
          <w:sz w:val="28"/>
          <w:szCs w:val="28"/>
          <w:rtl/>
        </w:rPr>
        <w:t xml:space="preserve">يا بَنيَّ، إنّي لم أترك لكم شيئًا، غيرَ أنّي تركتُ لكم أنّه لا يراكم أحدٌ من المسلمين إلا ويرى لكم عليه فضلًا وحقًّا. يا بَنيَّ، إنّي نظرتُ فرأيتُ: إمّا أن تكونوا أغنياءَ فأدخلَ النار، وإمّا أن تكونوا فقراءَ فأدخلَ الجنّة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تلا: </w:t>
      </w:r>
      <w:r>
        <w:rPr>
          <w:rFonts w:ascii="Traditional Arabic" w:cs="Traditional Arabic" w:eastAsia="Traditional Arabic" w:hAnsi="Traditional Arabic"/>
          <w:b/>
          <w:bCs/>
          <w:i w:val="false"/>
          <w:iCs w:val="false"/>
          <w:sz w:val="28"/>
          <w:szCs w:val="28"/>
          <w:rtl/>
        </w:rPr>
        <w:t xml:space="preserve">﴿تِلْكَ الدَّارُ الْآخِرَةُ نَجْعَلُهَا لِلَّذِينَ لَا يُرِيدُونَ عُلُوًّا فِي الْأَرْضِ وَلَا فَسَادًا ۚ وَالْعَاقِبَةُ لِلْمُتَّقِينَ﴾</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ثم فاضت روحُه ﵀</w:t>
      </w:r>
      <w:r>
        <w:rPr>
          <w:rFonts w:ascii="Traditional Arabic" w:cs="Traditional Arabic" w:eastAsia="Traditional Arabic" w:hAnsi="Traditional Arabic"/>
          <w:b w:val="false"/>
          <w:bCs w:val="false"/>
          <w:i w:val="false"/>
          <w:iCs w:val="false"/>
          <w:sz w:val="28"/>
          <w:szCs w:val="28"/>
          <w:rtl/>
        </w:rPr>
        <w:t xml:space="preserve">. فرفعه اللهُ حتى لُقِّب بالخليفة الراشد بعد عصر الصحابة؛ </w:t>
      </w:r>
      <w:r>
        <w:rPr>
          <w:rFonts w:ascii="Traditional Arabic" w:cs="Traditional Arabic" w:eastAsia="Traditional Arabic" w:hAnsi="Traditional Arabic"/>
          <w:b/>
          <w:bCs/>
          <w:i w:val="false"/>
          <w:iCs w:val="false"/>
          <w:sz w:val="28"/>
          <w:szCs w:val="28"/>
          <w:rtl/>
        </w:rPr>
        <w:t xml:space="preserve">وهو الذي قال أنسٌ ﵁ في صلاته: «ما صلّيتُ وراء إمامٍ أشبهَ صلاةً برسول الله ﷺ من هذا الفتى»</w:t>
      </w:r>
      <w:r>
        <w:rPr>
          <w:rStyle w:val="FootnoteReference"/>
        </w:rPr>
        <w:footnoteReference w:id="13"/>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رحم اللهُ عمرَ وأخلف الأمّةَ أمثالَه.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(٢/٤٤٠) والبخاري في «الأدب المفرد» (١١٩) وابن حبان والحاكم من حديث أبي هريرة ﵁، وصحّحه الألباني في «صحيح الأدب المفرد» (٩١) و«صحيح الترغيب» (٢٥٦٠) و«السلسلة الصحيحة» (١٩٠).</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والترمذي (٢٣٠٥) من حديث أبي هريرة ﵁، وحسّنه الألباني في «صحيح الجامع» (١٠٠) و«السلسلة الصحيحة» (٩٣٠) — وهو تتمّةُ حديث «اتّقِ المحارمَ تكن أعبدَ الناس».</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في كتب الرقائق والزهد، يُساق للاعتبار لا للاحتجاج؛ ومعناه مستفادٌ من نصوص الشرع في تعظيم حقوق العباد، ومنها حديث المفلس المتقدّم.</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(١١٧٣) وابن خزيمة من حديث ابن مسعود ﵁، وصحّحه الألباني في «صحيح الجامع» (٦٦٩٠) و«الإرواء» (٢٧٣).</w:t>
      </w:r>
    </w:p>
  </w:footnote>
  <w:footnote w:id="5">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(٤٦٩٠) والترمذي والحاكم من حديث أبي هريرة ﵁، وحسّنه الألباني في «صحيح أبي داود» (٣٩٢٩) و«صحيح الجامع» (٥٣٠).</w:t>
      </w:r>
    </w:p>
  </w:footnote>
  <w:footnote w:id="6">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(٢/٣٠٥) والطبراني من حديث أبي هريرة ﵁ وعثمان بن أبي العاص ﵁، وحسّنه الألباني في «صحيح الترغيب» (٧٠٦) و«صحيح الجامع» (٢٥٠٤).</w:t>
      </w:r>
    </w:p>
  </w:footnote>
  <w:footnote w:id="7">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أخرجه أحمد والبيهقي وغيرهما ضمن أحاديث الإسراء، وله شواهد؛ وقد صحّح الألباني حديثَ الإسراء بمشاهد العذاب في «السلسلة الصحيحة». ولم أقف على حكمٍ لإمامٍ على هذا اللفظ بعينه في كتب الشيخ الحاضرة في المكتبة، فيُذكر مع التنبيه.</w:t>
      </w:r>
    </w:p>
  </w:footnote>
  <w:footnote w:id="8">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(٢١٤٩) والترمذي وأحمد من حديث بريدة ﵁، وحسّنه الألباني في «صحيح الجامع» (٧٩٥٣) و«الإرواء» (١٨٦٤).</w:t>
      </w:r>
    </w:p>
  </w:footnote>
  <w:footnote w:id="9">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(٥/٢٥٦) والطبراني من حديث أبي أُمامة ﵁، وصحّحه الألباني في «السلسلة الصحيحة» (٣٧٠).</w:t>
      </w:r>
    </w:p>
  </w:footnote>
  <w:footnote w:id="10">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كلمةٌ مشهورةٌ تُنسب إلى عليٍّ ﵁ في كتب الرقائق، ولم أقف على إسنادٍ يثبت بها عنه، فتُذكر على أنّها كلمةٌ حكيمةٌ لا أثرٌ ثابت.</w:t>
      </w:r>
    </w:p>
  </w:footnote>
  <w:footnote w:id="1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حبان والبيهقي في «الشعب» من حديث أبي هريرة ﵁، وحسّنه الألباني في «صحيح الجامع» (٤٣٣٢) و«السلسلة الصحيحة» (٧٤٢).</w:t>
      </w:r>
    </w:p>
  </w:footnote>
  <w:footnote w:id="12">
    <w:p>
      <w:pPr>
        <w:bidi/>
        <w:jc w:val="right"/>
      </w:pPr>
      <w:r>
        <w:rPr>
          <w:rStyle w:val="FootnoteReference"/>
        </w:rPr>
        <w:footnoteRef/>
      </w:r>
      <w:r>
        <w:rPr>
          <w:rFonts w:ascii="Traditional Arabic" w:cs="Traditional Arabic" w:eastAsia="Traditional Arabic" w:hAnsi="Traditional Arabic"/>
          <w:sz w:val="20"/>
          <w:szCs w:val="20"/>
          <w:rtl/>
        </w:rPr>
        <w:t xml:space="preserve">خبرٌ مشهورٌ في ترجمة عمر بن عبد العزيز عند ابن الجوزي وابن عبد الحكم والذهبي في «سير أعلام النبلاء»، وهو من أخبار التراجم لا من المرفوع، ولم أقف على حكمٍ لإمامٍ على إسناده.</w:t>
      </w:r>
    </w:p>
  </w:footnote>
  <w:footnote w:id="13">
    <w:p>
      <w:pPr>
        <w:bidi/>
        <w:jc w:val="right"/>
      </w:pPr>
      <w:r>
        <w:rPr>
          <w:rStyle w:val="FootnoteReference"/>
        </w:rPr>
        <w:footnoteRef/>
      </w:r>
      <w:r>
        <w:rPr>
          <w:rFonts w:ascii="Traditional Arabic" w:cs="Traditional Arabic" w:eastAsia="Traditional Arabic" w:hAnsi="Traditional Arabic"/>
          <w:sz w:val="20"/>
          <w:szCs w:val="20"/>
          <w:rtl/>
        </w:rPr>
        <w:t xml:space="preserve">رواه النسائي (١٣٥٥) وأحمد من حديث أنسٍ ﵁ — وكان عمر بن عبد العزيز أميرًا على المدينة — وصحّحه الألباني في «صحيح سنن النسائي».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التكافلُ الاجتماعيّ — عمرُ بنُ عبد العزيز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2026-08-01T18:03:05.644Z</dcterms:created>
  <dcterms:modified xsi:type="dcterms:W3CDTF">2026-08-01T18:03:05.644Z</dcterms:modified>
</cp:coreProperties>
</file>

<file path=docProps/custom.xml><?xml version="1.0" encoding="utf-8"?>
<Properties xmlns="http://schemas.openxmlformats.org/officeDocument/2006/custom-properties" xmlns:vt="http://schemas.openxmlformats.org/officeDocument/2006/docPropsVTypes"/>
</file>