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الرِّشوة</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حكمُها وعقوبةُ الراشي والمرتشي</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ما كنتُ أُصدِّق أنّه يعيش بيننا!</w:t>
      </w:r>
      <w:r>
        <w:rPr>
          <w:rFonts w:ascii="Traditional Arabic" w:cs="Traditional Arabic" w:eastAsia="Traditional Arabic" w:hAnsi="Traditional Arabic"/>
          <w:b w:val="false"/>
          <w:bCs w:val="false"/>
          <w:i w:val="false"/>
          <w:iCs w:val="false"/>
          <w:sz w:val="28"/>
          <w:szCs w:val="28"/>
          <w:rtl/>
        </w:rPr>
        <w:t xml:space="preserve"> حتى جاءتني الاتّصالات تسألني بلَهفةٍ وحُرقة: </w:t>
      </w:r>
      <w:r>
        <w:rPr>
          <w:rFonts w:ascii="Traditional Arabic" w:cs="Traditional Arabic" w:eastAsia="Traditional Arabic" w:hAnsi="Traditional Arabic"/>
          <w:b/>
          <w:bCs/>
          <w:i w:val="false"/>
          <w:iCs w:val="false"/>
          <w:sz w:val="28"/>
          <w:szCs w:val="28"/>
          <w:rtl/>
        </w:rPr>
        <w:t xml:space="preserve">عن حكم دفع مالٍ لموظّف بلديّة، وآخرَ لموظّف أمانة، وآخرَ لموظّفٍ في محكمةٍ شرعيّة — بل تسلّل ذلك إلى بعض النفوس المريضة من المنتسبين إلى الأجهزة الأمنيّة!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إنّها </w:t>
      </w:r>
      <w:r>
        <w:rPr>
          <w:rFonts w:ascii="Traditional Arabic" w:cs="Traditional Arabic" w:eastAsia="Traditional Arabic" w:hAnsi="Traditional Arabic"/>
          <w:b/>
          <w:bCs/>
          <w:i w:val="false"/>
          <w:iCs w:val="false"/>
          <w:sz w:val="28"/>
          <w:szCs w:val="28"/>
          <w:rtl/>
        </w:rPr>
        <w:t xml:space="preserve">الرِّشوة</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كبيرةٌ من الكبائر وإثمٌ عظيم، ابتُليت بها أممٌ ومجتمعاتٌ بجوارنا ثم تسلّلت إلى مجتمعنا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ولمّا اتّبع الناسُ أخلاقَ اليهود تسلّلت فينا أمراضُهم — ومن أخصِّها أنّهم ﴿أَكَّالُونَ لِلسُّحْتِ﴾</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ما هي الرِّشوة؟</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الرِّشوة: </w:t>
      </w:r>
      <w:r>
        <w:rPr>
          <w:rFonts w:ascii="Traditional Arabic" w:cs="Traditional Arabic" w:eastAsia="Traditional Arabic" w:hAnsi="Traditional Arabic"/>
          <w:b/>
          <w:bCs/>
          <w:i w:val="false"/>
          <w:iCs w:val="false"/>
          <w:sz w:val="28"/>
          <w:szCs w:val="28"/>
          <w:rtl/>
        </w:rPr>
        <w:t xml:space="preserve">أن تدفع مالًا من أجل إبطال حقٍّ أو إحقاق باطل</w:t>
      </w:r>
      <w:r>
        <w:rPr>
          <w:rFonts w:ascii="Traditional Arabic" w:cs="Traditional Arabic" w:eastAsia="Traditional Arabic" w:hAnsi="Traditional Arabic"/>
          <w:b w:val="false"/>
          <w:bCs w:val="false"/>
          <w:i w:val="false"/>
          <w:iCs w:val="false"/>
          <w:sz w:val="28"/>
          <w:szCs w:val="28"/>
          <w:rtl/>
        </w:rPr>
        <w:t xml:space="preserve">. ومن صورها: </w:t>
      </w:r>
      <w:r>
        <w:rPr>
          <w:rFonts w:ascii="Traditional Arabic" w:cs="Traditional Arabic" w:eastAsia="Traditional Arabic" w:hAnsi="Traditional Arabic"/>
          <w:b/>
          <w:bCs/>
          <w:i w:val="false"/>
          <w:iCs w:val="false"/>
          <w:sz w:val="28"/>
          <w:szCs w:val="28"/>
          <w:rtl/>
        </w:rPr>
        <w:t xml:space="preserve">أن تدفع مالًا لموظّفٍ ليُوقِعَ الظلمَ على غيرك؛ وأن يأخذ الموظّفُ مالًا لِيُؤدّيَ الواجبَ الذي جعله اللهُ في عنقه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ولا يُجامِلْ أحدُنا الآخرَ فيقول: هي في الشرق أو في الغرب — بل هي في مجتمعاتنا!</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عقوباتُها</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الأولى: أنّ الراشيَ والمرتشيَ ملعونان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يا مسلم: </w:t>
      </w:r>
      <w:r>
        <w:rPr>
          <w:rFonts w:ascii="Traditional Arabic" w:cs="Traditional Arabic" w:eastAsia="Traditional Arabic" w:hAnsi="Traditional Arabic"/>
          <w:b/>
          <w:bCs/>
          <w:i w:val="false"/>
          <w:iCs w:val="false"/>
          <w:sz w:val="28"/>
          <w:szCs w:val="28"/>
          <w:rtl/>
        </w:rPr>
        <w:t xml:space="preserve">هل استشعرتَ ما معنى أن تكون ملعونًا؟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إنّ الواحدَ منّا يعيش حياتَه كلَّها يتقرّب إلى الله بحثًا عن رحمته — فكيف بك إن كنتَ مطرودًا مُبعَدًا محرومًا منها؟!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قال عبدُ الله بنُ عمرو ﵄: </w:t>
      </w:r>
      <w:r>
        <w:rPr>
          <w:rFonts w:ascii="Traditional Arabic" w:cs="Traditional Arabic" w:eastAsia="Traditional Arabic" w:hAnsi="Traditional Arabic"/>
          <w:b/>
          <w:bCs/>
          <w:i w:val="false"/>
          <w:iCs w:val="false"/>
          <w:sz w:val="28"/>
          <w:szCs w:val="28"/>
          <w:rtl/>
        </w:rPr>
        <w:t xml:space="preserve">«لَعَنَ رسولُ الله ﷺ الراشيَ والمرتشيَ»</w:t>
      </w:r>
      <w:r>
        <w:rPr>
          <w:rStyle w:val="FootnoteReference"/>
        </w:rPr>
        <w:footnoteReference w:id="8"/>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وحين تسمع لفظةَ اللعن ينبغي أن يرتجف لها قلبُك ويقشعرَّ لها بدنُك</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iCs/>
          <w:sz w:val="28"/>
          <w:szCs w:val="28"/>
          <w:rtl/>
        </w:rPr>
        <w:t xml:space="preserve">﴿تنبيهٌ لازم:﴾ </w:t>
      </w:r>
      <w:r>
        <w:rPr>
          <w:rFonts w:ascii="Traditional Arabic" w:cs="Traditional Arabic" w:eastAsia="Traditional Arabic" w:hAnsi="Traditional Arabic"/>
          <w:b w:val="false"/>
          <w:bCs w:val="false"/>
          <w:i w:val="false"/>
          <w:iCs w:val="false"/>
          <w:sz w:val="28"/>
          <w:szCs w:val="28"/>
          <w:rtl/>
        </w:rPr>
        <w:t xml:space="preserve">وأمّا زيادةُ </w:t>
      </w:r>
      <w:r>
        <w:rPr>
          <w:rFonts w:ascii="Traditional Arabic" w:cs="Traditional Arabic" w:eastAsia="Traditional Arabic" w:hAnsi="Traditional Arabic"/>
          <w:b/>
          <w:bCs/>
          <w:i w:val="false"/>
          <w:iCs w:val="false"/>
          <w:sz w:val="28"/>
          <w:szCs w:val="28"/>
          <w:rtl/>
        </w:rPr>
        <w:t xml:space="preserve">«والرائشِ الذي يمشي بينهما»</w:t>
      </w:r>
      <w:r>
        <w:rPr>
          <w:rFonts w:ascii="Traditional Arabic" w:cs="Traditional Arabic" w:eastAsia="Traditional Arabic" w:hAnsi="Traditional Arabic"/>
          <w:b w:val="false"/>
          <w:bCs w:val="false"/>
          <w:i w:val="false"/>
          <w:iCs w:val="false"/>
          <w:sz w:val="28"/>
          <w:szCs w:val="28"/>
          <w:rtl/>
        </w:rPr>
        <w:t xml:space="preserve"> — أي الواسطةِ بينهما — </w:t>
      </w:r>
      <w:r>
        <w:rPr>
          <w:rFonts w:ascii="Traditional Arabic" w:cs="Traditional Arabic" w:eastAsia="Traditional Arabic" w:hAnsi="Traditional Arabic"/>
          <w:b/>
          <w:bCs/>
          <w:i w:val="false"/>
          <w:iCs w:val="false"/>
          <w:sz w:val="28"/>
          <w:szCs w:val="28"/>
          <w:rtl/>
        </w:rPr>
        <w:t xml:space="preserve">فقد حكم عليها الألبانيُّ بالنكارة</w:t>
      </w:r>
      <w:r>
        <w:rPr>
          <w:rStyle w:val="FootnoteReference"/>
        </w:rPr>
        <w:footnoteReference w:id="9"/>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ويبقى إثمُ الواسطة ثابتًا بأدلّة الإعانة على الإثم: ﴿وَلَا تَعَاوَنُوا عَلَى الْإِثْمِ وَالْعُدْوَانِ﴾ — لا بهذا اللفظ بعينه</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الثانية: الوعيدُ بالنار</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يا مسلم: </w:t>
      </w:r>
      <w:r>
        <w:rPr>
          <w:rFonts w:ascii="Traditional Arabic" w:cs="Traditional Arabic" w:eastAsia="Traditional Arabic" w:hAnsi="Traditional Arabic"/>
          <w:b/>
          <w:bCs/>
          <w:i w:val="false"/>
          <w:iCs w:val="false"/>
          <w:sz w:val="28"/>
          <w:szCs w:val="28"/>
          <w:rtl/>
        </w:rPr>
        <w:t xml:space="preserve">أَلَكَ طاقةٌ على النار؟</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إنّنا نتضجّر من حرارةٍ تقارب الأربعين — وهي جزءٌ من سبعين جزءًا من نار جهنّم!</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فإن كنتَ تصبر على نار جهنّم فكُنْ ممّن يتعامل بالرشوة</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ولاحِظْ أنّ النصوصَ تُقدِّم ذِكرَ الراشي على المرتشي — كأنّها تُخاطب نفوسًا تُسوِّل لها أنّ الإثمَ على الآخذ وحده!</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الثالثة: أنّه موصوفٌ بأكل السُّحت</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قال اللهُ في اليهود: </w:t>
      </w:r>
      <w:r>
        <w:rPr>
          <w:rFonts w:ascii="Traditional Arabic" w:cs="Traditional Arabic" w:eastAsia="Traditional Arabic" w:hAnsi="Traditional Arabic"/>
          <w:b/>
          <w:bCs/>
          <w:i w:val="false"/>
          <w:iCs w:val="false"/>
          <w:sz w:val="28"/>
          <w:szCs w:val="28"/>
          <w:rtl/>
        </w:rPr>
        <w:t xml:space="preserve">﴿سَمَّاعُونَ لِلْكَذِبِ أَكَّالُونَ لِلسُّحْتِ﴾</w:t>
      </w:r>
      <w:r>
        <w:rPr>
          <w:rFonts w:ascii="Traditional Arabic" w:cs="Traditional Arabic" w:eastAsia="Traditional Arabic" w:hAnsi="Traditional Arabic"/>
          <w:b w:val="false"/>
          <w:bCs w:val="false"/>
          <w:i w:val="false"/>
          <w:iCs w:val="false"/>
          <w:sz w:val="28"/>
          <w:szCs w:val="28"/>
          <w:rtl/>
        </w:rPr>
        <w:t xml:space="preserve">. وقال عمرُ ﵁: </w:t>
      </w:r>
      <w:r>
        <w:rPr>
          <w:rFonts w:ascii="Traditional Arabic" w:cs="Traditional Arabic" w:eastAsia="Traditional Arabic" w:hAnsi="Traditional Arabic"/>
          <w:b/>
          <w:bCs/>
          <w:i w:val="false"/>
          <w:iCs w:val="false"/>
          <w:sz w:val="28"/>
          <w:szCs w:val="28"/>
          <w:rtl/>
        </w:rPr>
        <w:t xml:space="preserve">بابان من السُّحت يأكلهما الناس: الرِّشوةُ ومَهرُ الزانية</w:t>
      </w:r>
      <w:r>
        <w:rPr>
          <w:rStyle w:val="FootnoteReference"/>
        </w:rPr>
        <w:footnoteReference w:id="10"/>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يا الله! هذا المالُ الذي يأخذه الموظّفُ بهمّةٍ خسيسة — يُشبِه مهرَ الزانية!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ولا تزال نفسُك تُسوِّل لك احتجاجًا بأنّ الراتبَ قليلٌ والمعيشةَ غالية؟ </w:t>
      </w:r>
      <w:r>
        <w:rPr>
          <w:rFonts w:ascii="Traditional Arabic" w:cs="Traditional Arabic" w:eastAsia="Traditional Arabic" w:hAnsi="Traditional Arabic"/>
          <w:b/>
          <w:bCs/>
          <w:i w:val="false"/>
          <w:iCs w:val="false"/>
          <w:sz w:val="28"/>
          <w:szCs w:val="28"/>
          <w:rtl/>
        </w:rPr>
        <w:t xml:space="preserve">إنّ ربَّنا الذي أمرنا ونهانا يعلم أنّنا سنمرُّ بظروفٍ صعبة؛ وإنّ صبرَك على ألم الدنيا وجوعها سينقلبُ عِزًّا لك يوم القيامة</w:t>
      </w:r>
      <w:r>
        <w:rPr>
          <w:rFonts w:ascii="Traditional Arabic" w:cs="Traditional Arabic" w:eastAsia="Traditional Arabic" w:hAnsi="Traditional Arabic"/>
          <w:b w:val="false"/>
          <w:bCs w:val="false"/>
          <w:i w:val="false"/>
          <w:iCs w:val="false"/>
          <w:sz w:val="28"/>
          <w:szCs w:val="28"/>
          <w:rtl/>
        </w:rPr>
        <w:t xml:space="preserve">.</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صورةٌ يتساهل فيها كثيرٌ من الناس: هدايا العُمّال</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وهي </w:t>
      </w:r>
      <w:r>
        <w:rPr>
          <w:rFonts w:ascii="Traditional Arabic" w:cs="Traditional Arabic" w:eastAsia="Traditional Arabic" w:hAnsi="Traditional Arabic"/>
          <w:b/>
          <w:bCs/>
          <w:i w:val="false"/>
          <w:iCs w:val="false"/>
          <w:sz w:val="28"/>
          <w:szCs w:val="28"/>
          <w:rtl/>
        </w:rPr>
        <w:t xml:space="preserve">تلك الهدايا التي يتلقّاها الموظّفُ لا لشيءٍ إلا لكونه في منصبه ووظيفته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الهديّةُ التي لم تكن لتُعطى لك لو لم تكن في ذلك المكان — فهي من صور الرشوة المذمومة</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وجاء عن عمر بن عبد العزيز ﵀ </w:t>
      </w:r>
      <w:r>
        <w:rPr>
          <w:rFonts w:ascii="Traditional Arabic" w:cs="Traditional Arabic" w:eastAsia="Traditional Arabic" w:hAnsi="Traditional Arabic"/>
          <w:b/>
          <w:bCs/>
          <w:i w:val="false"/>
          <w:iCs w:val="false"/>
          <w:sz w:val="28"/>
          <w:szCs w:val="28"/>
          <w:rtl/>
        </w:rPr>
        <w:t xml:space="preserve">أنّه كان إذا جاءته الهدايا يرفضها، فقيل له: إنّ رسولَ الله ﷺ كان يقبل الهديّة! فقال: «هي لرسول الله ﷺ هديّة، ولنا رِشوة»</w:t>
      </w:r>
      <w:r>
        <w:rPr>
          <w:rStyle w:val="FootnoteReference"/>
        </w:rPr>
        <w:footnoteReference w:id="11"/>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وفي «الصحيحين» أنّ النبيَّ ﷺ </w:t>
      </w:r>
      <w:r>
        <w:rPr>
          <w:rFonts w:ascii="Traditional Arabic" w:cs="Traditional Arabic" w:eastAsia="Traditional Arabic" w:hAnsi="Traditional Arabic"/>
          <w:b/>
          <w:bCs/>
          <w:i w:val="false"/>
          <w:iCs w:val="false"/>
          <w:sz w:val="28"/>
          <w:szCs w:val="28"/>
          <w:rtl/>
        </w:rPr>
        <w:t xml:space="preserve">بعث رجلًا من الأزد يُقال له ابنُ اللُّتْبيّة على الصدقة، فلمّا قدِم قال: هذا لكم وهذا أُهديَ إليّ!</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فقام النبيُّ ﷺ على المنبر فحمِد اللهَ وأثنى عليه ثم قال: «ما بالُ عاملٍ أبعثُه فيقول: هذا لكم وهذا أُهديَ إليّ؟! أفلا جلس في بيت أبيه وأمّه فينظر: أيُهدى إليه أم لا؟»</w:t>
      </w:r>
      <w:r>
        <w:rPr>
          <w:rFonts w:ascii="Traditional Arabic" w:cs="Traditional Arabic" w:eastAsia="Traditional Arabic" w:hAnsi="Traditional Arabic"/>
          <w:b w:val="false"/>
          <w:bCs w:val="false"/>
          <w:i w:val="false"/>
          <w:iCs w:val="false"/>
          <w:sz w:val="28"/>
          <w:szCs w:val="28"/>
          <w:rtl/>
        </w:rPr>
        <w:t xml:space="preserve">. متفقٌ عليه.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وقال ﷺ: </w:t>
      </w:r>
      <w:r>
        <w:rPr>
          <w:rFonts w:ascii="Traditional Arabic" w:cs="Traditional Arabic" w:eastAsia="Traditional Arabic" w:hAnsi="Traditional Arabic"/>
          <w:b/>
          <w:bCs/>
          <w:i w:val="false"/>
          <w:iCs w:val="false"/>
          <w:sz w:val="28"/>
          <w:szCs w:val="28"/>
          <w:rtl/>
        </w:rPr>
        <w:t xml:space="preserve">«هدايا العُمّال غُلول»</w:t>
      </w:r>
      <w:r>
        <w:rPr>
          <w:rStyle w:val="FootnoteReference"/>
        </w:rPr>
        <w:footnoteReference w:id="12"/>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والغُلولُ هو ما يُؤخَذ من الغنيمة بغير حقّ</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فإن كانت الهديّةُ لقرابةٍ أو صداقةٍ أو علاقةٍ لا تتعلّق بوظيفتك فهي هديّة؛ وإن كانت لوظيفتك فهي غُلول</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ولمّا انتشرت الرِّشوة </w:t>
      </w:r>
      <w:r>
        <w:rPr>
          <w:rFonts w:ascii="Traditional Arabic" w:cs="Traditional Arabic" w:eastAsia="Traditional Arabic" w:hAnsi="Traditional Arabic"/>
          <w:b/>
          <w:bCs/>
          <w:i w:val="false"/>
          <w:iCs w:val="false"/>
          <w:sz w:val="28"/>
          <w:szCs w:val="28"/>
          <w:rtl/>
        </w:rPr>
        <w:t xml:space="preserve">صار أناسٌ يتقلّدون مناصبَ ليسوا لها أهلًا، وعمَّ الظلمُ والفساد</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فالذي يُمارس الرشوة لم يظلم نفسَه فحسب، بل ظلم المجتمعَ كلَّه — وسيقف بين يدي الله فيُسأل عن هذا المال المحرَّم: دافعًا كان أو آخذًا</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bCs/>
          <w:i w:val="false"/>
          <w:iCs w:val="false"/>
          <w:sz w:val="28"/>
          <w:szCs w:val="28"/>
          <w:rtl/>
        </w:rPr>
        <w:t xml:space="preserve">اللهمّ طهِّرْ قلوبَنا وجوارحَنا من المال المحرَّم كلِّه.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من أخبار التراجم في «صفة الصفوة» لابن الجوزي و«حلية الأولياء» لأبي نعيم؛ تُساق للاعتبار لا للاحتجاج.</w:t>
      </w:r>
    </w:p>
  </w:footnote>
  <w:footnote w:id="2">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(٢١٩٧) بسنده عن مجاهدٍ عن ابن عباسٍ ﵄. وقصّةُ الرجل الذي طلّق ثلاثًا ثابتةٌ في «سنن أبي داود»، وصحّح إسنادَها الألباني في «صحيح أبي داود» (١٨٩٩).</w:t>
      </w:r>
    </w:p>
  </w:footnote>
  <w:footnote w:id="3">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النسائي (٣٩٣٩) وأحمد من حديث أنسٍ ﵁، وحسّنه الألباني في «صحيح الجامع» (٣١٢٤) و«السلسلة الصحيحة» (٣٢٩١).</w:t>
      </w:r>
    </w:p>
  </w:footnote>
  <w:footnote w:id="4">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إشارةٌ إلى ما رواه مسلم (٢٨٠٧) من حديث أنسٍ ﵁: «يُؤتى بأشدِّ الناس بؤسًا… ثم يُصبَغُ صبغةً في الجنّة… ويُؤتى بأنعم أهل الدنيا فيُصبَغُ صبغةً في النار…».</w:t>
      </w:r>
    </w:p>
  </w:footnote>
  <w:footnote w:id="5">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(٢١٩٧) عن مجاهدٍ عن ابن عباسٍ ﵄، وصحّح إسنادَه الألباني في «صحيح أبي داود» (١٨٩٩).</w:t>
      </w:r>
    </w:p>
  </w:footnote>
  <w:footnote w:id="6">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خبرٌ مشهور في ترجمة قيس بن عاصم ﵁ عند ابن عبد البرّ في «الاستيعاب» وأبي نعيم في «الحلية»؛ وهو من أخبار التراجم لا من المرفوع.</w:t>
      </w:r>
    </w:p>
  </w:footnote>
  <w:footnote w:id="7">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من أخبار الزهد في «حلية الأولياء» لأبي نعيم و«صفة الصفوة»؛ تُساق للاعتبار لا للاحتجاج.</w:t>
      </w:r>
    </w:p>
  </w:footnote>
  <w:footnote w:id="8">
    <w:p>
      <w:pPr>
        <w:bidi/>
        <w:jc w:val="right"/>
      </w:pPr>
      <w:r>
        <w:rPr>
          <w:rStyle w:val="FootnoteReference"/>
        </w:rPr>
        <w:footnoteRef/>
      </w:r>
      <w:r>
        <w:rPr>
          <w:rFonts w:ascii="Traditional Arabic" w:cs="Traditional Arabic" w:eastAsia="Traditional Arabic" w:hAnsi="Traditional Arabic"/>
          <w:sz w:val="20"/>
          <w:szCs w:val="20"/>
          <w:rtl/>
        </w:rPr>
        <w:t xml:space="preserve">رواه أبو داود (٣٥٨٠) والترمذي (١٣٣٧) وابن ماجه وأحمد، وصحّحه الألباني في «صحيح الجامع» (٥١١٤) و«الإرواء» (٢٦٢١) و«غاية المرام» (٤٥٧).</w:t>
      </w:r>
    </w:p>
  </w:footnote>
  <w:footnote w:id="9">
    <w:p>
      <w:pPr>
        <w:bidi/>
        <w:jc w:val="right"/>
      </w:pPr>
      <w:r>
        <w:rPr>
          <w:rStyle w:val="FootnoteReference"/>
        </w:rPr>
        <w:footnoteRef/>
      </w:r>
      <w:r>
        <w:rPr>
          <w:rFonts w:ascii="Traditional Arabic" w:cs="Traditional Arabic" w:eastAsia="Traditional Arabic" w:hAnsi="Traditional Arabic"/>
          <w:sz w:val="20"/>
          <w:szCs w:val="20"/>
          <w:rtl/>
        </w:rPr>
        <w:t xml:space="preserve">رواه أحمد (٥/٢٧٩) والحاكم من حديث ثوبان ﵁، وقال الألباني في «السلسلة الضعيفة» (١٢٣٥): «منكر»، وأورده في «ضعيف الجامع» (٤٦٨٤). ﴿تصويب: وقع في النصّ المفرَّغ أنّها «بسندٍ حسن»، والصوابُ ما تقدّم.﴾</w:t>
      </w:r>
    </w:p>
  </w:footnote>
  <w:footnote w:id="10">
    <w:p>
      <w:pPr>
        <w:bidi/>
        <w:jc w:val="right"/>
      </w:pPr>
      <w:r>
        <w:rPr>
          <w:rStyle w:val="FootnoteReference"/>
        </w:rPr>
        <w:footnoteRef/>
      </w:r>
      <w:r>
        <w:rPr>
          <w:rFonts w:ascii="Traditional Arabic" w:cs="Traditional Arabic" w:eastAsia="Traditional Arabic" w:hAnsi="Traditional Arabic"/>
          <w:sz w:val="20"/>
          <w:szCs w:val="20"/>
          <w:rtl/>
        </w:rPr>
        <w:t xml:space="preserve">أثرٌ عن عمر ﵁ في كتب التفسير عند آية المائدة؛ ذكره ابن كثير وغيره. ولم أقف على حكمٍ لإمامٍ على إسناده بعينه في كتب الشيخ الألباني الحاضرة في المكتبة.</w:t>
      </w:r>
    </w:p>
  </w:footnote>
  <w:footnote w:id="11">
    <w:p>
      <w:pPr>
        <w:bidi/>
        <w:jc w:val="right"/>
      </w:pPr>
      <w:r>
        <w:rPr>
          <w:rStyle w:val="FootnoteReference"/>
        </w:rPr>
        <w:footnoteRef/>
      </w:r>
      <w:r>
        <w:rPr>
          <w:rFonts w:ascii="Traditional Arabic" w:cs="Traditional Arabic" w:eastAsia="Traditional Arabic" w:hAnsi="Traditional Arabic"/>
          <w:sz w:val="20"/>
          <w:szCs w:val="20"/>
          <w:rtl/>
        </w:rPr>
        <w:t xml:space="preserve">أثرٌ مشهور عن عمر بن عبد العزيز ﵀ في كتب التراجم والسِّيَر؛ ذكره ابن الجوزي والذهبي، وهو من أخبار التراجم لا من المرفوع.</w:t>
      </w:r>
    </w:p>
  </w:footnote>
  <w:footnote w:id="12">
    <w:p>
      <w:pPr>
        <w:bidi/>
        <w:jc w:val="right"/>
      </w:pPr>
      <w:r>
        <w:rPr>
          <w:rStyle w:val="FootnoteReference"/>
        </w:rPr>
        <w:footnoteRef/>
      </w:r>
      <w:r>
        <w:rPr>
          <w:rFonts w:ascii="Traditional Arabic" w:cs="Traditional Arabic" w:eastAsia="Traditional Arabic" w:hAnsi="Traditional Arabic"/>
          <w:sz w:val="20"/>
          <w:szCs w:val="20"/>
          <w:rtl/>
        </w:rPr>
        <w:t xml:space="preserve">رواه أحمد (٥/٤٢٤) والبيهقي من حديث أبي حُميدٍ الساعديّ ﵁، وصحّحه الألباني في «صحيح الجامع» (٧٠٢١) و«الإرواء» (٢٦٢٢).</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الرِّشوة — حكمُها وعقوبتُها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2026-08-02T02:54:19.474Z</dcterms:created>
  <dcterms:modified xsi:type="dcterms:W3CDTF">2026-08-02T02:54:19.474Z</dcterms:modified>
</cp:coreProperties>
</file>

<file path=docProps/custom.xml><?xml version="1.0" encoding="utf-8"?>
<Properties xmlns="http://schemas.openxmlformats.org/officeDocument/2006/custom-properties" xmlns:vt="http://schemas.openxmlformats.org/officeDocument/2006/docPropsVTypes"/>
</file>